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302E6" w14:textId="77777777" w:rsidR="00562F87" w:rsidRPr="009B2388" w:rsidRDefault="00562F87" w:rsidP="00A057DD">
      <w:pPr>
        <w:spacing w:line="360" w:lineRule="auto"/>
        <w:jc w:val="center"/>
        <w:textAlignment w:val="baseline"/>
        <w:rPr>
          <w:rFonts w:ascii="Arial" w:hAnsi="Arial" w:cs="Arial"/>
          <w:b/>
          <w:color w:val="000000"/>
          <w:sz w:val="44"/>
          <w:szCs w:val="44"/>
          <w:lang w:val="en-GB"/>
        </w:rPr>
      </w:pPr>
      <w:r w:rsidRPr="009B2388">
        <w:rPr>
          <w:rFonts w:ascii="Arial" w:hAnsi="Arial" w:cs="Arial"/>
          <w:b/>
          <w:color w:val="000000"/>
          <w:sz w:val="44"/>
          <w:szCs w:val="44"/>
          <w:lang w:val="en-GB"/>
        </w:rPr>
        <w:t xml:space="preserve">Financial Secretary in the Ministry of Finance </w:t>
      </w:r>
    </w:p>
    <w:p w14:paraId="45D2E242" w14:textId="435A7433" w:rsidR="00562F87" w:rsidRPr="009B2388" w:rsidRDefault="00562F87" w:rsidP="00056BDC">
      <w:pPr>
        <w:spacing w:line="360" w:lineRule="auto"/>
        <w:textAlignment w:val="baseline"/>
        <w:rPr>
          <w:rFonts w:ascii="Arial" w:hAnsi="Arial" w:cs="Arial"/>
          <w:b/>
          <w:color w:val="000000"/>
          <w:sz w:val="28"/>
          <w:lang w:val="en-GB"/>
        </w:rPr>
      </w:pPr>
    </w:p>
    <w:p w14:paraId="463EDA5D" w14:textId="4A696AE6" w:rsidR="00562F87" w:rsidRPr="009B2388" w:rsidRDefault="003C415F" w:rsidP="00A057DD">
      <w:pPr>
        <w:spacing w:line="360" w:lineRule="auto"/>
        <w:jc w:val="center"/>
        <w:textAlignment w:val="baseline"/>
        <w:rPr>
          <w:rFonts w:ascii="Arial" w:hAnsi="Arial" w:cs="Arial"/>
          <w:b/>
          <w:color w:val="000000"/>
          <w:sz w:val="28"/>
          <w:lang w:val="en-GB"/>
        </w:rPr>
      </w:pPr>
      <w:r>
        <w:rPr>
          <w:rFonts w:ascii="Arial" w:hAnsi="Arial" w:cs="Arial"/>
          <w:noProof/>
        </w:rPr>
        <w:drawing>
          <wp:inline distT="0" distB="0" distL="0" distR="0" wp14:anchorId="261D1AC9" wp14:editId="7A87E502">
            <wp:extent cx="1714500" cy="2095500"/>
            <wp:effectExtent l="0" t="0" r="0" b="0"/>
            <wp:docPr id="1" name="Picture 1" descr="http://thetribune.media.clients.ellingtoncms.com/img/photos/2013/06/18/06182013_anniversary_coat_pg12.1_t180.jpg?370a03faaa4bde2115f371a02430eb3e6a451b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tribune.media.clients.ellingtoncms.com/img/photos/2013/06/18/06182013_anniversary_coat_pg12.1_t180.jpg?370a03faaa4bde2115f371a02430eb3e6a451b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095500"/>
                    </a:xfrm>
                    <a:prstGeom prst="rect">
                      <a:avLst/>
                    </a:prstGeom>
                    <a:noFill/>
                    <a:ln>
                      <a:noFill/>
                    </a:ln>
                  </pic:spPr>
                </pic:pic>
              </a:graphicData>
            </a:graphic>
          </wp:inline>
        </w:drawing>
      </w:r>
    </w:p>
    <w:p w14:paraId="744BFA33" w14:textId="77777777" w:rsidR="00562F87" w:rsidRPr="009B2388" w:rsidRDefault="00562F87" w:rsidP="00A057DD">
      <w:pPr>
        <w:spacing w:line="360" w:lineRule="auto"/>
        <w:jc w:val="center"/>
        <w:textAlignment w:val="baseline"/>
        <w:rPr>
          <w:rFonts w:ascii="Arial" w:hAnsi="Arial" w:cs="Arial"/>
          <w:b/>
          <w:color w:val="000000"/>
          <w:sz w:val="28"/>
          <w:lang w:val="en-GB"/>
        </w:rPr>
      </w:pPr>
    </w:p>
    <w:p w14:paraId="21CA5D42" w14:textId="77777777" w:rsidR="00562F87" w:rsidRPr="00E962DB" w:rsidRDefault="00562F87" w:rsidP="00A057DD">
      <w:pPr>
        <w:spacing w:line="360" w:lineRule="auto"/>
        <w:jc w:val="center"/>
        <w:textAlignment w:val="baseline"/>
        <w:rPr>
          <w:rFonts w:ascii="Arial" w:hAnsi="Arial" w:cs="Arial"/>
          <w:b/>
          <w:color w:val="000000"/>
          <w:sz w:val="28"/>
          <w:lang w:val="en-GB"/>
        </w:rPr>
      </w:pPr>
      <w:r w:rsidRPr="00E962DB">
        <w:rPr>
          <w:rFonts w:ascii="Arial" w:hAnsi="Arial" w:cs="Arial"/>
          <w:b/>
          <w:color w:val="000000"/>
          <w:sz w:val="28"/>
          <w:lang w:val="en-GB"/>
        </w:rPr>
        <w:t xml:space="preserve">THE </w:t>
      </w:r>
      <w:smartTag w:uri="urn:schemas-microsoft-com:office:smarttags" w:element="place">
        <w:smartTag w:uri="urn:schemas-microsoft-com:office:smarttags" w:element="country-region">
          <w:r w:rsidRPr="00E962DB">
            <w:rPr>
              <w:rFonts w:ascii="Arial" w:hAnsi="Arial" w:cs="Arial"/>
              <w:b/>
              <w:color w:val="000000"/>
              <w:sz w:val="28"/>
              <w:lang w:val="en-GB"/>
            </w:rPr>
            <w:t>BAHAMAS</w:t>
          </w:r>
        </w:smartTag>
      </w:smartTag>
    </w:p>
    <w:p w14:paraId="6B6861A6" w14:textId="77777777" w:rsidR="00562F87" w:rsidRPr="00E962DB" w:rsidRDefault="00562F87" w:rsidP="00A057DD">
      <w:pPr>
        <w:spacing w:line="360" w:lineRule="auto"/>
        <w:jc w:val="center"/>
        <w:textAlignment w:val="baseline"/>
        <w:rPr>
          <w:rFonts w:ascii="Arial" w:hAnsi="Arial" w:cs="Arial"/>
          <w:b/>
          <w:color w:val="000000"/>
          <w:sz w:val="28"/>
          <w:lang w:val="en-GB"/>
        </w:rPr>
      </w:pPr>
    </w:p>
    <w:p w14:paraId="1E7711BF" w14:textId="77777777" w:rsidR="00562F87" w:rsidRPr="00E962DB" w:rsidRDefault="00562F87" w:rsidP="00A057DD">
      <w:pPr>
        <w:spacing w:line="360" w:lineRule="auto"/>
        <w:jc w:val="center"/>
        <w:textAlignment w:val="baseline"/>
        <w:rPr>
          <w:rFonts w:ascii="Arial" w:hAnsi="Arial" w:cs="Arial"/>
          <w:b/>
          <w:color w:val="000000"/>
          <w:sz w:val="32"/>
          <w:szCs w:val="32"/>
          <w:lang w:val="en-GB"/>
        </w:rPr>
      </w:pPr>
      <w:r w:rsidRPr="00E962DB">
        <w:rPr>
          <w:rFonts w:ascii="Arial" w:hAnsi="Arial" w:cs="Arial"/>
          <w:b/>
          <w:color w:val="000000"/>
          <w:sz w:val="32"/>
          <w:szCs w:val="32"/>
          <w:lang w:val="en-GB"/>
        </w:rPr>
        <w:t>GUIDANCE NOTES ON THE COMMON REPORTING STANDARD FOR AUTOMATIC EXCHANGE OF FINANCIAL ACCOUNT INFORMATION IN TAX MATTERS</w:t>
      </w:r>
    </w:p>
    <w:p w14:paraId="58F08A5A" w14:textId="77777777" w:rsidR="00562F87" w:rsidRPr="00E962DB" w:rsidRDefault="00562F87" w:rsidP="00A057DD">
      <w:pPr>
        <w:spacing w:line="360" w:lineRule="auto"/>
        <w:jc w:val="center"/>
        <w:textAlignment w:val="baseline"/>
        <w:rPr>
          <w:rFonts w:ascii="Arial" w:hAnsi="Arial" w:cs="Arial"/>
          <w:b/>
          <w:color w:val="000000"/>
          <w:sz w:val="28"/>
          <w:lang w:val="en-GB"/>
        </w:rPr>
      </w:pPr>
    </w:p>
    <w:p w14:paraId="1EF880DB" w14:textId="77777777" w:rsidR="00562F87" w:rsidRPr="00E962DB" w:rsidRDefault="00562F87" w:rsidP="00A057DD">
      <w:pPr>
        <w:spacing w:line="360" w:lineRule="auto"/>
        <w:jc w:val="center"/>
        <w:textAlignment w:val="baseline"/>
        <w:rPr>
          <w:rFonts w:ascii="Arial" w:hAnsi="Arial" w:cs="Arial"/>
          <w:b/>
          <w:color w:val="000000"/>
          <w:sz w:val="28"/>
          <w:lang w:val="en-GB"/>
        </w:rPr>
      </w:pPr>
      <w:r w:rsidRPr="00E962DB">
        <w:rPr>
          <w:rFonts w:ascii="Arial" w:hAnsi="Arial" w:cs="Arial"/>
          <w:b/>
          <w:color w:val="000000"/>
          <w:sz w:val="28"/>
          <w:lang w:val="en-GB"/>
        </w:rPr>
        <w:t>Date of Issue: [</w:t>
      </w:r>
      <w:r w:rsidRPr="00E962DB">
        <w:rPr>
          <w:rFonts w:ascii="Arial" w:hAnsi="Arial" w:cs="Arial"/>
          <w:b/>
          <w:color w:val="000000"/>
          <w:sz w:val="28"/>
          <w:lang w:val="en-GB"/>
        </w:rPr>
        <w:tab/>
      </w:r>
      <w:r w:rsidRPr="00E962DB">
        <w:rPr>
          <w:rFonts w:ascii="Arial" w:hAnsi="Arial" w:cs="Arial"/>
          <w:b/>
          <w:color w:val="000000"/>
          <w:sz w:val="28"/>
          <w:lang w:val="en-GB"/>
        </w:rPr>
        <w:tab/>
        <w:t>]</w:t>
      </w:r>
    </w:p>
    <w:p w14:paraId="3E740316" w14:textId="77777777" w:rsidR="00562F87" w:rsidRPr="00E962DB" w:rsidRDefault="00562F87" w:rsidP="00A057DD">
      <w:pPr>
        <w:spacing w:line="360" w:lineRule="auto"/>
        <w:jc w:val="both"/>
        <w:textAlignment w:val="baseline"/>
        <w:rPr>
          <w:rFonts w:ascii="Arial" w:hAnsi="Arial" w:cs="Arial"/>
          <w:b/>
          <w:color w:val="000000"/>
          <w:spacing w:val="-2"/>
          <w:sz w:val="36"/>
          <w:lang w:val="en-GB"/>
        </w:rPr>
      </w:pPr>
    </w:p>
    <w:p w14:paraId="03A73F4F" w14:textId="77777777" w:rsidR="00562F87" w:rsidRPr="00E962DB" w:rsidRDefault="00562F87" w:rsidP="00A057DD">
      <w:pPr>
        <w:spacing w:line="360" w:lineRule="auto"/>
        <w:jc w:val="both"/>
        <w:textAlignment w:val="baseline"/>
        <w:rPr>
          <w:rFonts w:ascii="Arial" w:hAnsi="Arial" w:cs="Arial"/>
          <w:color w:val="000000"/>
          <w:lang w:val="en-GB"/>
        </w:rPr>
      </w:pPr>
      <w:r w:rsidRPr="00E962DB">
        <w:rPr>
          <w:rFonts w:ascii="Arial" w:hAnsi="Arial" w:cs="Arial"/>
          <w:color w:val="000000"/>
          <w:lang w:val="en-GB"/>
        </w:rPr>
        <w:t>These Guidance Notes are issued under The Bahamas Automatic Exchange of Financial Account Information Act 2016.</w:t>
      </w:r>
    </w:p>
    <w:p w14:paraId="423464C8" w14:textId="77777777" w:rsidR="00562F87" w:rsidRPr="00E962DB" w:rsidRDefault="00562F87" w:rsidP="00A057DD">
      <w:pPr>
        <w:spacing w:line="360" w:lineRule="auto"/>
        <w:textAlignment w:val="baseline"/>
        <w:rPr>
          <w:rFonts w:ascii="Arial" w:hAnsi="Arial" w:cs="Arial"/>
          <w:color w:val="000000"/>
          <w:sz w:val="21"/>
          <w:lang w:val="en-GB"/>
        </w:rPr>
      </w:pPr>
    </w:p>
    <w:p w14:paraId="6F0B3780" w14:textId="77777777" w:rsidR="00562F87" w:rsidRPr="00E962DB" w:rsidRDefault="00562F87" w:rsidP="004227EC">
      <w:pPr>
        <w:spacing w:line="360" w:lineRule="auto"/>
        <w:textAlignment w:val="baseline"/>
        <w:rPr>
          <w:rFonts w:ascii="Arial" w:hAnsi="Arial" w:cs="Arial"/>
          <w:color w:val="000000"/>
          <w:sz w:val="20"/>
          <w:lang w:val="en-GB"/>
        </w:rPr>
      </w:pPr>
      <w:r w:rsidRPr="00E962DB">
        <w:rPr>
          <w:rFonts w:ascii="Arial" w:hAnsi="Arial" w:cs="Arial"/>
          <w:color w:val="000000"/>
          <w:sz w:val="21"/>
          <w:lang w:val="en-GB"/>
        </w:rPr>
        <w:t>This document will continually be under review with updates being issued periodically.</w:t>
      </w:r>
      <w:r w:rsidRPr="00E962DB">
        <w:rPr>
          <w:rFonts w:ascii="Arial" w:hAnsi="Arial" w:cs="Arial"/>
          <w:color w:val="0000FF"/>
          <w:sz w:val="20"/>
          <w:lang w:val="en-GB"/>
        </w:rPr>
        <w:t xml:space="preserve"> </w:t>
      </w:r>
    </w:p>
    <w:p w14:paraId="1C5D2A74" w14:textId="77777777" w:rsidR="00562F87" w:rsidRPr="00E962DB" w:rsidRDefault="00562F87" w:rsidP="00A057DD">
      <w:pPr>
        <w:rPr>
          <w:rFonts w:ascii="Arial" w:hAnsi="Arial" w:cs="Arial"/>
          <w:b/>
          <w:color w:val="365F91"/>
          <w:spacing w:val="-4"/>
          <w:sz w:val="28"/>
          <w:lang w:val="en-GB" w:eastAsia="ja-JP"/>
        </w:rPr>
      </w:pPr>
      <w:r w:rsidRPr="00E962DB">
        <w:rPr>
          <w:rFonts w:ascii="Arial" w:hAnsi="Arial" w:cs="Arial"/>
          <w:lang w:val="en-GB"/>
        </w:rPr>
        <w:br w:type="page"/>
      </w:r>
    </w:p>
    <w:p w14:paraId="3D326ED8" w14:textId="77777777" w:rsidR="00562F87" w:rsidRPr="00E962DB" w:rsidRDefault="00562F87">
      <w:pPr>
        <w:pStyle w:val="TOCHeading"/>
        <w:rPr>
          <w:rFonts w:ascii="Arial" w:hAnsi="Arial" w:cs="Arial"/>
        </w:rPr>
      </w:pPr>
      <w:r w:rsidRPr="00E962DB">
        <w:rPr>
          <w:rFonts w:ascii="Arial" w:hAnsi="Arial" w:cs="Arial"/>
        </w:rPr>
        <w:lastRenderedPageBreak/>
        <w:t>Contents</w:t>
      </w:r>
    </w:p>
    <w:p w14:paraId="52D331FA" w14:textId="2C44E503" w:rsidR="00562F87" w:rsidRPr="00E962DB" w:rsidRDefault="00562F87" w:rsidP="002D4BBB">
      <w:pPr>
        <w:pStyle w:val="TOC1"/>
        <w:rPr>
          <w:rFonts w:ascii="Calibri" w:hAnsi="Calibri"/>
          <w:noProof/>
          <w:lang w:val="en-GB" w:eastAsia="en-GB"/>
        </w:rPr>
      </w:pPr>
      <w:r w:rsidRPr="00E962DB">
        <w:rPr>
          <w:rFonts w:ascii="Arial" w:hAnsi="Arial" w:cs="Arial"/>
        </w:rPr>
        <w:fldChar w:fldCharType="begin"/>
      </w:r>
      <w:r w:rsidRPr="00E962DB">
        <w:rPr>
          <w:rFonts w:ascii="Arial" w:hAnsi="Arial" w:cs="Arial"/>
        </w:rPr>
        <w:instrText xml:space="preserve"> TOC \o "1-3" \h \z \u </w:instrText>
      </w:r>
      <w:r w:rsidRPr="00E962DB">
        <w:rPr>
          <w:rFonts w:ascii="Arial" w:hAnsi="Arial" w:cs="Arial"/>
        </w:rPr>
        <w:fldChar w:fldCharType="separate"/>
      </w:r>
      <w:hyperlink w:anchor="_Toc492290956" w:history="1">
        <w:r w:rsidRPr="00E962DB">
          <w:rPr>
            <w:rStyle w:val="Hyperlink"/>
            <w:noProof/>
            <w:lang w:val="en-GB"/>
          </w:rPr>
          <w:t>I.</w:t>
        </w:r>
        <w:r w:rsidRPr="00E962DB">
          <w:rPr>
            <w:rFonts w:ascii="Calibri" w:hAnsi="Calibri"/>
            <w:noProof/>
            <w:lang w:val="en-GB" w:eastAsia="en-GB"/>
          </w:rPr>
          <w:tab/>
        </w:r>
        <w:r w:rsidRPr="00E962DB">
          <w:rPr>
            <w:rStyle w:val="Hyperlink"/>
            <w:noProof/>
            <w:lang w:val="en-GB"/>
          </w:rPr>
          <w:t>OVERVIEW</w:t>
        </w:r>
        <w:r w:rsidRPr="00E962DB">
          <w:rPr>
            <w:noProof/>
            <w:webHidden/>
          </w:rPr>
          <w:tab/>
        </w:r>
        <w:r w:rsidRPr="00E962DB">
          <w:rPr>
            <w:noProof/>
            <w:webHidden/>
          </w:rPr>
          <w:fldChar w:fldCharType="begin"/>
        </w:r>
        <w:r w:rsidRPr="00E962DB">
          <w:rPr>
            <w:noProof/>
            <w:webHidden/>
          </w:rPr>
          <w:instrText xml:space="preserve"> PAGEREF _Toc492290956 \h </w:instrText>
        </w:r>
        <w:r w:rsidRPr="00E962DB">
          <w:rPr>
            <w:noProof/>
            <w:webHidden/>
          </w:rPr>
        </w:r>
        <w:r w:rsidRPr="00E962DB">
          <w:rPr>
            <w:noProof/>
            <w:webHidden/>
          </w:rPr>
          <w:fldChar w:fldCharType="separate"/>
        </w:r>
        <w:r w:rsidR="00E703FE">
          <w:rPr>
            <w:noProof/>
            <w:webHidden/>
          </w:rPr>
          <w:t>4</w:t>
        </w:r>
        <w:r w:rsidRPr="00E962DB">
          <w:rPr>
            <w:noProof/>
            <w:webHidden/>
          </w:rPr>
          <w:fldChar w:fldCharType="end"/>
        </w:r>
      </w:hyperlink>
    </w:p>
    <w:p w14:paraId="0B31380A" w14:textId="391FA2D3" w:rsidR="00562F87" w:rsidRPr="00E962DB" w:rsidRDefault="006D7998" w:rsidP="007258E7">
      <w:pPr>
        <w:pStyle w:val="TOC2"/>
        <w:rPr>
          <w:rFonts w:ascii="Calibri" w:hAnsi="Calibri"/>
          <w:noProof/>
          <w:lang w:val="en-GB" w:eastAsia="en-GB"/>
        </w:rPr>
      </w:pPr>
      <w:hyperlink w:anchor="_Toc492290957" w:history="1">
        <w:r w:rsidR="00562F87" w:rsidRPr="00E962DB">
          <w:rPr>
            <w:rStyle w:val="Hyperlink"/>
            <w:noProof/>
            <w:lang w:val="en-GB"/>
          </w:rPr>
          <w:t>A.</w:t>
        </w:r>
        <w:r w:rsidR="00562F87" w:rsidRPr="00E962DB">
          <w:rPr>
            <w:rFonts w:ascii="Calibri" w:hAnsi="Calibri"/>
            <w:noProof/>
            <w:lang w:val="en-GB" w:eastAsia="en-GB"/>
          </w:rPr>
          <w:tab/>
        </w:r>
        <w:r w:rsidR="00562F87" w:rsidRPr="00E962DB">
          <w:rPr>
            <w:rStyle w:val="Hyperlink"/>
            <w:noProof/>
            <w:lang w:val="en-GB"/>
          </w:rPr>
          <w:t>Abbreviations and Acronyms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_Toc492290957 \h </w:instrText>
        </w:r>
        <w:r w:rsidR="00562F87" w:rsidRPr="00E962DB">
          <w:rPr>
            <w:noProof/>
            <w:webHidden/>
          </w:rPr>
        </w:r>
        <w:r w:rsidR="00562F87" w:rsidRPr="00E962DB">
          <w:rPr>
            <w:noProof/>
            <w:webHidden/>
          </w:rPr>
          <w:fldChar w:fldCharType="separate"/>
        </w:r>
        <w:r w:rsidR="00E703FE">
          <w:rPr>
            <w:noProof/>
            <w:webHidden/>
          </w:rPr>
          <w:t>4</w:t>
        </w:r>
        <w:r w:rsidR="00562F87" w:rsidRPr="00E962DB">
          <w:rPr>
            <w:noProof/>
            <w:webHidden/>
          </w:rPr>
          <w:fldChar w:fldCharType="end"/>
        </w:r>
      </w:hyperlink>
    </w:p>
    <w:p w14:paraId="7A3F808A" w14:textId="56E71337" w:rsidR="00562F87" w:rsidRPr="00E962DB" w:rsidRDefault="006D7998" w:rsidP="007258E7">
      <w:pPr>
        <w:pStyle w:val="TOC2"/>
        <w:rPr>
          <w:rFonts w:ascii="Calibri" w:hAnsi="Calibri"/>
          <w:noProof/>
          <w:lang w:val="en-GB" w:eastAsia="en-GB"/>
        </w:rPr>
      </w:pPr>
      <w:hyperlink w:anchor="_Toc492290958" w:history="1">
        <w:r w:rsidR="00562F87" w:rsidRPr="00E962DB">
          <w:rPr>
            <w:rStyle w:val="Hyperlink"/>
            <w:noProof/>
            <w:lang w:val="en-GB"/>
          </w:rPr>
          <w:t>B.</w:t>
        </w:r>
        <w:r w:rsidR="00562F87" w:rsidRPr="00E962DB">
          <w:rPr>
            <w:rFonts w:ascii="Calibri" w:hAnsi="Calibri"/>
            <w:noProof/>
            <w:lang w:val="en-GB" w:eastAsia="en-GB"/>
          </w:rPr>
          <w:tab/>
        </w:r>
        <w:r w:rsidR="00562F87" w:rsidRPr="00E962DB">
          <w:rPr>
            <w:rStyle w:val="Hyperlink"/>
            <w:noProof/>
            <w:lang w:val="en-GB"/>
          </w:rPr>
          <w:t>General</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_Toc492290958 \h </w:instrText>
        </w:r>
        <w:r w:rsidR="00562F87" w:rsidRPr="00E962DB">
          <w:rPr>
            <w:noProof/>
            <w:webHidden/>
          </w:rPr>
        </w:r>
        <w:r w:rsidR="00562F87" w:rsidRPr="00E962DB">
          <w:rPr>
            <w:noProof/>
            <w:webHidden/>
          </w:rPr>
          <w:fldChar w:fldCharType="separate"/>
        </w:r>
        <w:r w:rsidR="00E703FE">
          <w:rPr>
            <w:noProof/>
            <w:webHidden/>
          </w:rPr>
          <w:t>4</w:t>
        </w:r>
        <w:r w:rsidR="00562F87" w:rsidRPr="00E962DB">
          <w:rPr>
            <w:noProof/>
            <w:webHidden/>
          </w:rPr>
          <w:fldChar w:fldCharType="end"/>
        </w:r>
      </w:hyperlink>
    </w:p>
    <w:p w14:paraId="71333513" w14:textId="6FEA8DF8" w:rsidR="00562F87" w:rsidRPr="00E962DB" w:rsidRDefault="006D7998" w:rsidP="007258E7">
      <w:pPr>
        <w:pStyle w:val="TOC2"/>
        <w:rPr>
          <w:rFonts w:ascii="Calibri" w:hAnsi="Calibri"/>
          <w:noProof/>
          <w:lang w:val="en-GB" w:eastAsia="en-GB"/>
        </w:rPr>
      </w:pPr>
      <w:hyperlink w:anchor="_Toc492290959" w:history="1">
        <w:r w:rsidR="00562F87" w:rsidRPr="00E962DB">
          <w:rPr>
            <w:rStyle w:val="Hyperlink"/>
            <w:noProof/>
            <w:lang w:val="en-GB"/>
          </w:rPr>
          <w:t>C.</w:t>
        </w:r>
        <w:r w:rsidR="00562F87" w:rsidRPr="00E962DB">
          <w:rPr>
            <w:rFonts w:ascii="Calibri" w:hAnsi="Calibri"/>
            <w:noProof/>
            <w:lang w:val="en-GB" w:eastAsia="en-GB"/>
          </w:rPr>
          <w:tab/>
        </w:r>
        <w:r w:rsidR="00562F87" w:rsidRPr="00E962DB">
          <w:rPr>
            <w:rStyle w:val="Hyperlink"/>
            <w:noProof/>
            <w:lang w:val="en-GB"/>
          </w:rPr>
          <w:t>CRS Implementation in The Bahamas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_Toc492290959 \h </w:instrText>
        </w:r>
        <w:r w:rsidR="00562F87" w:rsidRPr="00E962DB">
          <w:rPr>
            <w:noProof/>
            <w:webHidden/>
          </w:rPr>
        </w:r>
        <w:r w:rsidR="00562F87" w:rsidRPr="00E962DB">
          <w:rPr>
            <w:noProof/>
            <w:webHidden/>
          </w:rPr>
          <w:fldChar w:fldCharType="separate"/>
        </w:r>
        <w:r w:rsidR="00E703FE">
          <w:rPr>
            <w:noProof/>
            <w:webHidden/>
          </w:rPr>
          <w:t>4</w:t>
        </w:r>
        <w:r w:rsidR="00562F87" w:rsidRPr="00E962DB">
          <w:rPr>
            <w:noProof/>
            <w:webHidden/>
          </w:rPr>
          <w:fldChar w:fldCharType="end"/>
        </w:r>
      </w:hyperlink>
    </w:p>
    <w:p w14:paraId="54881F59" w14:textId="401DDE33" w:rsidR="00562F87" w:rsidRPr="00E962DB" w:rsidRDefault="006D7998" w:rsidP="007258E7">
      <w:pPr>
        <w:pStyle w:val="TOC2"/>
        <w:rPr>
          <w:rFonts w:ascii="Calibri" w:hAnsi="Calibri"/>
          <w:noProof/>
          <w:lang w:val="en-GB" w:eastAsia="en-GB"/>
        </w:rPr>
      </w:pPr>
      <w:hyperlink w:anchor="_Toc492290960" w:history="1">
        <w:r w:rsidR="00562F87" w:rsidRPr="00E962DB">
          <w:rPr>
            <w:rStyle w:val="Hyperlink"/>
            <w:noProof/>
            <w:lang w:val="en-GB"/>
          </w:rPr>
          <w:t>D.</w:t>
        </w:r>
        <w:r w:rsidR="00562F87" w:rsidRPr="00E962DB">
          <w:rPr>
            <w:rFonts w:ascii="Calibri" w:hAnsi="Calibri"/>
            <w:noProof/>
            <w:lang w:val="en-GB" w:eastAsia="en-GB"/>
          </w:rPr>
          <w:tab/>
        </w:r>
        <w:r w:rsidR="00562F87" w:rsidRPr="00E962DB">
          <w:rPr>
            <w:rStyle w:val="Hyperlink"/>
            <w:noProof/>
            <w:lang w:val="en-GB"/>
          </w:rPr>
          <w:t>Core Documents for Effective Application of CRS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_Toc492290960 \h </w:instrText>
        </w:r>
        <w:r w:rsidR="00562F87" w:rsidRPr="00E962DB">
          <w:rPr>
            <w:noProof/>
            <w:webHidden/>
          </w:rPr>
        </w:r>
        <w:r w:rsidR="00562F87" w:rsidRPr="00E962DB">
          <w:rPr>
            <w:noProof/>
            <w:webHidden/>
          </w:rPr>
          <w:fldChar w:fldCharType="separate"/>
        </w:r>
        <w:r w:rsidR="00E703FE">
          <w:rPr>
            <w:noProof/>
            <w:webHidden/>
          </w:rPr>
          <w:t>6</w:t>
        </w:r>
        <w:r w:rsidR="00562F87" w:rsidRPr="00E962DB">
          <w:rPr>
            <w:noProof/>
            <w:webHidden/>
          </w:rPr>
          <w:fldChar w:fldCharType="end"/>
        </w:r>
      </w:hyperlink>
    </w:p>
    <w:p w14:paraId="05278682" w14:textId="1C01B644" w:rsidR="00562F87" w:rsidRPr="00E962DB" w:rsidRDefault="006D7998" w:rsidP="007258E7">
      <w:pPr>
        <w:pStyle w:val="TOC2"/>
        <w:rPr>
          <w:rFonts w:ascii="Calibri" w:hAnsi="Calibri"/>
          <w:noProof/>
          <w:lang w:val="en-GB" w:eastAsia="en-GB"/>
        </w:rPr>
      </w:pPr>
      <w:hyperlink w:anchor="_Toc492290961" w:history="1">
        <w:r w:rsidR="00562F87" w:rsidRPr="00E962DB">
          <w:rPr>
            <w:rStyle w:val="Hyperlink"/>
            <w:noProof/>
          </w:rPr>
          <w:t>E.</w:t>
        </w:r>
        <w:r w:rsidR="00562F87" w:rsidRPr="00E962DB">
          <w:rPr>
            <w:rFonts w:ascii="Calibri" w:hAnsi="Calibri"/>
            <w:noProof/>
            <w:lang w:val="en-GB" w:eastAsia="en-GB"/>
          </w:rPr>
          <w:tab/>
        </w:r>
        <w:r w:rsidR="00562F87" w:rsidRPr="00E962DB">
          <w:rPr>
            <w:rStyle w:val="Hyperlink"/>
            <w:noProof/>
          </w:rPr>
          <w:t>Resources to Aid CRS Application</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_Toc492290961 \h </w:instrText>
        </w:r>
        <w:r w:rsidR="00562F87" w:rsidRPr="00E962DB">
          <w:rPr>
            <w:noProof/>
            <w:webHidden/>
          </w:rPr>
        </w:r>
        <w:r w:rsidR="00562F87" w:rsidRPr="00E962DB">
          <w:rPr>
            <w:noProof/>
            <w:webHidden/>
          </w:rPr>
          <w:fldChar w:fldCharType="separate"/>
        </w:r>
        <w:r w:rsidR="00E703FE">
          <w:rPr>
            <w:noProof/>
            <w:webHidden/>
          </w:rPr>
          <w:t>6</w:t>
        </w:r>
        <w:r w:rsidR="00562F87" w:rsidRPr="00E962DB">
          <w:rPr>
            <w:noProof/>
            <w:webHidden/>
          </w:rPr>
          <w:fldChar w:fldCharType="end"/>
        </w:r>
      </w:hyperlink>
    </w:p>
    <w:p w14:paraId="585FCF4A" w14:textId="5C1DE9CF" w:rsidR="00562F87" w:rsidRPr="00E962DB" w:rsidRDefault="006D7998" w:rsidP="007258E7">
      <w:pPr>
        <w:pStyle w:val="TOC2"/>
        <w:rPr>
          <w:rFonts w:ascii="Calibri" w:hAnsi="Calibri"/>
          <w:noProof/>
          <w:lang w:val="en-GB" w:eastAsia="en-GB"/>
        </w:rPr>
      </w:pPr>
      <w:hyperlink w:anchor="_Toc492290962" w:history="1">
        <w:r w:rsidR="00562F87" w:rsidRPr="00E962DB">
          <w:rPr>
            <w:rStyle w:val="Hyperlink"/>
            <w:noProof/>
            <w:lang w:val="en-GB"/>
          </w:rPr>
          <w:t>F.</w:t>
        </w:r>
        <w:r w:rsidR="00562F87" w:rsidRPr="00E962DB">
          <w:rPr>
            <w:rFonts w:ascii="Calibri" w:hAnsi="Calibri"/>
            <w:noProof/>
            <w:lang w:val="en-GB" w:eastAsia="en-GB"/>
          </w:rPr>
          <w:tab/>
        </w:r>
        <w:r w:rsidR="00562F87" w:rsidRPr="00E962DB">
          <w:rPr>
            <w:rStyle w:val="Hyperlink"/>
            <w:noProof/>
            <w:lang w:val="en-GB"/>
          </w:rPr>
          <w:t>Purpose of Guidance Notes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_Toc492290962 \h </w:instrText>
        </w:r>
        <w:r w:rsidR="00562F87" w:rsidRPr="00E962DB">
          <w:rPr>
            <w:noProof/>
            <w:webHidden/>
          </w:rPr>
        </w:r>
        <w:r w:rsidR="00562F87" w:rsidRPr="00E962DB">
          <w:rPr>
            <w:noProof/>
            <w:webHidden/>
          </w:rPr>
          <w:fldChar w:fldCharType="separate"/>
        </w:r>
        <w:r w:rsidR="00E703FE">
          <w:rPr>
            <w:noProof/>
            <w:webHidden/>
          </w:rPr>
          <w:t>7</w:t>
        </w:r>
        <w:r w:rsidR="00562F87" w:rsidRPr="00E962DB">
          <w:rPr>
            <w:noProof/>
            <w:webHidden/>
          </w:rPr>
          <w:fldChar w:fldCharType="end"/>
        </w:r>
      </w:hyperlink>
    </w:p>
    <w:p w14:paraId="6EA02E36" w14:textId="291D29C3" w:rsidR="00562F87" w:rsidRPr="00E962DB" w:rsidRDefault="006D7998" w:rsidP="007258E7">
      <w:pPr>
        <w:pStyle w:val="TOC2"/>
        <w:rPr>
          <w:rFonts w:ascii="Calibri" w:hAnsi="Calibri"/>
          <w:noProof/>
          <w:lang w:val="en-GB" w:eastAsia="en-GB"/>
        </w:rPr>
      </w:pPr>
      <w:hyperlink w:anchor="_Toc492290963" w:history="1">
        <w:r w:rsidR="00562F87" w:rsidRPr="00E962DB">
          <w:rPr>
            <w:rStyle w:val="Hyperlink"/>
            <w:noProof/>
            <w:lang w:val="en-GB"/>
          </w:rPr>
          <w:t>G.</w:t>
        </w:r>
        <w:r w:rsidR="00562F87" w:rsidRPr="00E962DB">
          <w:rPr>
            <w:rFonts w:ascii="Calibri" w:hAnsi="Calibri"/>
            <w:noProof/>
            <w:lang w:val="en-GB" w:eastAsia="en-GB"/>
          </w:rPr>
          <w:tab/>
        </w:r>
        <w:r w:rsidR="00562F87" w:rsidRPr="00E962DB">
          <w:rPr>
            <w:rStyle w:val="Hyperlink"/>
            <w:noProof/>
            <w:lang w:val="en-GB"/>
          </w:rPr>
          <w:t>The Bahamas Competent Authority</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_Toc492290963 \h </w:instrText>
        </w:r>
        <w:r w:rsidR="00562F87" w:rsidRPr="00E962DB">
          <w:rPr>
            <w:noProof/>
            <w:webHidden/>
          </w:rPr>
        </w:r>
        <w:r w:rsidR="00562F87" w:rsidRPr="00E962DB">
          <w:rPr>
            <w:noProof/>
            <w:webHidden/>
          </w:rPr>
          <w:fldChar w:fldCharType="separate"/>
        </w:r>
        <w:r w:rsidR="00E703FE">
          <w:rPr>
            <w:noProof/>
            <w:webHidden/>
          </w:rPr>
          <w:t>8</w:t>
        </w:r>
        <w:r w:rsidR="00562F87" w:rsidRPr="00E962DB">
          <w:rPr>
            <w:noProof/>
            <w:webHidden/>
          </w:rPr>
          <w:fldChar w:fldCharType="end"/>
        </w:r>
      </w:hyperlink>
    </w:p>
    <w:p w14:paraId="1219AFC7" w14:textId="1C3A3CEE" w:rsidR="00562F87" w:rsidRPr="00E962DB" w:rsidRDefault="006D7998" w:rsidP="007258E7">
      <w:pPr>
        <w:pStyle w:val="TOC2"/>
        <w:rPr>
          <w:rFonts w:ascii="Calibri" w:hAnsi="Calibri"/>
          <w:noProof/>
          <w:lang w:val="en-GB" w:eastAsia="en-GB"/>
        </w:rPr>
      </w:pPr>
      <w:hyperlink w:anchor="_Toc492290964" w:history="1">
        <w:r w:rsidR="00562F87" w:rsidRPr="00E962DB">
          <w:rPr>
            <w:rStyle w:val="Hyperlink"/>
            <w:noProof/>
            <w:lang w:val="en-GB"/>
          </w:rPr>
          <w:t>H.</w:t>
        </w:r>
        <w:r w:rsidR="00562F87" w:rsidRPr="00E962DB">
          <w:rPr>
            <w:rFonts w:ascii="Calibri" w:hAnsi="Calibri"/>
            <w:noProof/>
            <w:lang w:val="en-GB" w:eastAsia="en-GB"/>
          </w:rPr>
          <w:tab/>
        </w:r>
        <w:r w:rsidR="00562F87" w:rsidRPr="00E962DB">
          <w:rPr>
            <w:rStyle w:val="Hyperlink"/>
            <w:noProof/>
            <w:lang w:val="en-GB"/>
          </w:rPr>
          <w:t>Client Privacy and Data Protection</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_Toc492290964 \h </w:instrText>
        </w:r>
        <w:r w:rsidR="00562F87" w:rsidRPr="00E962DB">
          <w:rPr>
            <w:noProof/>
            <w:webHidden/>
          </w:rPr>
        </w:r>
        <w:r w:rsidR="00562F87" w:rsidRPr="00E962DB">
          <w:rPr>
            <w:noProof/>
            <w:webHidden/>
          </w:rPr>
          <w:fldChar w:fldCharType="separate"/>
        </w:r>
        <w:r w:rsidR="00E703FE">
          <w:rPr>
            <w:noProof/>
            <w:webHidden/>
          </w:rPr>
          <w:t>9</w:t>
        </w:r>
        <w:r w:rsidR="00562F87" w:rsidRPr="00E962DB">
          <w:rPr>
            <w:noProof/>
            <w:webHidden/>
          </w:rPr>
          <w:fldChar w:fldCharType="end"/>
        </w:r>
      </w:hyperlink>
    </w:p>
    <w:p w14:paraId="7E7916F8" w14:textId="027E418B" w:rsidR="00562F87" w:rsidRPr="00E962DB" w:rsidRDefault="006D7998" w:rsidP="007258E7">
      <w:pPr>
        <w:pStyle w:val="TOC2"/>
        <w:rPr>
          <w:rFonts w:ascii="Calibri" w:hAnsi="Calibri"/>
          <w:noProof/>
          <w:lang w:val="en-GB" w:eastAsia="en-GB"/>
        </w:rPr>
      </w:pPr>
      <w:hyperlink w:anchor="_Toc492290965" w:history="1">
        <w:r w:rsidR="00562F87" w:rsidRPr="00E962DB">
          <w:rPr>
            <w:rStyle w:val="Hyperlink"/>
            <w:noProof/>
            <w:lang w:val="en-GB"/>
          </w:rPr>
          <w:t>I.</w:t>
        </w:r>
        <w:r w:rsidR="00562F87" w:rsidRPr="00E962DB">
          <w:rPr>
            <w:rFonts w:ascii="Calibri" w:hAnsi="Calibri"/>
            <w:noProof/>
            <w:lang w:val="en-GB" w:eastAsia="en-GB"/>
          </w:rPr>
          <w:tab/>
        </w:r>
        <w:r w:rsidR="00562F87" w:rsidRPr="00E962DB">
          <w:rPr>
            <w:rStyle w:val="Hyperlink"/>
            <w:noProof/>
            <w:lang w:val="en-GB"/>
          </w:rPr>
          <w:t>Reporting to the Tax Information Authority</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_Toc492290965 \h </w:instrText>
        </w:r>
        <w:r w:rsidR="00562F87" w:rsidRPr="00E962DB">
          <w:rPr>
            <w:noProof/>
            <w:webHidden/>
          </w:rPr>
        </w:r>
        <w:r w:rsidR="00562F87" w:rsidRPr="00E962DB">
          <w:rPr>
            <w:noProof/>
            <w:webHidden/>
          </w:rPr>
          <w:fldChar w:fldCharType="separate"/>
        </w:r>
        <w:r w:rsidR="00E703FE">
          <w:rPr>
            <w:noProof/>
            <w:webHidden/>
          </w:rPr>
          <w:t>10</w:t>
        </w:r>
        <w:r w:rsidR="00562F87" w:rsidRPr="00E962DB">
          <w:rPr>
            <w:noProof/>
            <w:webHidden/>
          </w:rPr>
          <w:fldChar w:fldCharType="end"/>
        </w:r>
      </w:hyperlink>
    </w:p>
    <w:p w14:paraId="06731259" w14:textId="70CD4598" w:rsidR="00562F87" w:rsidRPr="00E962DB" w:rsidRDefault="006D7998" w:rsidP="002D4BBB">
      <w:pPr>
        <w:pStyle w:val="TOC1"/>
        <w:rPr>
          <w:rFonts w:ascii="Calibri" w:hAnsi="Calibri"/>
          <w:noProof/>
          <w:lang w:val="en-GB" w:eastAsia="en-GB"/>
        </w:rPr>
      </w:pPr>
      <w:hyperlink w:anchor="_Toc492290966" w:history="1">
        <w:r w:rsidR="00562F87" w:rsidRPr="00E962DB">
          <w:rPr>
            <w:rStyle w:val="Hyperlink"/>
            <w:noProof/>
            <w:lang w:val="en-GB"/>
          </w:rPr>
          <w:t>II.</w:t>
        </w:r>
        <w:r w:rsidR="00562F87" w:rsidRPr="00E962DB">
          <w:rPr>
            <w:rFonts w:ascii="Calibri" w:hAnsi="Calibri"/>
            <w:noProof/>
            <w:lang w:val="en-GB" w:eastAsia="en-GB"/>
          </w:rPr>
          <w:tab/>
        </w:r>
        <w:r w:rsidR="00562F87" w:rsidRPr="00E962DB">
          <w:rPr>
            <w:rStyle w:val="Hyperlink"/>
            <w:noProof/>
            <w:lang w:val="en-GB"/>
          </w:rPr>
          <w:t>CRS DUE DILIGENCE AND REPORTING OBLIGATIONS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_Toc492290966 \h </w:instrText>
        </w:r>
        <w:r w:rsidR="00562F87" w:rsidRPr="00E962DB">
          <w:rPr>
            <w:noProof/>
            <w:webHidden/>
          </w:rPr>
        </w:r>
        <w:r w:rsidR="00562F87" w:rsidRPr="00E962DB">
          <w:rPr>
            <w:noProof/>
            <w:webHidden/>
          </w:rPr>
          <w:fldChar w:fldCharType="separate"/>
        </w:r>
        <w:r w:rsidR="00E703FE">
          <w:rPr>
            <w:noProof/>
            <w:webHidden/>
          </w:rPr>
          <w:t>10</w:t>
        </w:r>
        <w:r w:rsidR="00562F87" w:rsidRPr="00E962DB">
          <w:rPr>
            <w:noProof/>
            <w:webHidden/>
          </w:rPr>
          <w:fldChar w:fldCharType="end"/>
        </w:r>
      </w:hyperlink>
    </w:p>
    <w:p w14:paraId="07938354" w14:textId="305C361C" w:rsidR="00562F87" w:rsidRPr="00E962DB" w:rsidRDefault="006D7998" w:rsidP="007258E7">
      <w:pPr>
        <w:pStyle w:val="TOC2"/>
        <w:rPr>
          <w:rFonts w:ascii="Calibri" w:hAnsi="Calibri"/>
          <w:noProof/>
          <w:lang w:val="en-GB" w:eastAsia="en-GB"/>
        </w:rPr>
      </w:pPr>
      <w:hyperlink w:anchor="_Toc492290967" w:history="1">
        <w:r w:rsidR="00562F87" w:rsidRPr="00E962DB">
          <w:rPr>
            <w:rStyle w:val="Hyperlink"/>
            <w:noProof/>
            <w:lang w:val="en-GB"/>
          </w:rPr>
          <w:t>A.</w:t>
        </w:r>
        <w:r w:rsidR="00562F87" w:rsidRPr="00E962DB">
          <w:rPr>
            <w:rFonts w:ascii="Calibri" w:hAnsi="Calibri"/>
            <w:noProof/>
            <w:lang w:val="en-GB" w:eastAsia="en-GB"/>
          </w:rPr>
          <w:tab/>
        </w:r>
        <w:r w:rsidR="00562F87" w:rsidRPr="00E962DB">
          <w:rPr>
            <w:rStyle w:val="Hyperlink"/>
            <w:noProof/>
            <w:lang w:val="en-GB"/>
          </w:rPr>
          <w:t>Reporting</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_Toc492290967 \h </w:instrText>
        </w:r>
        <w:r w:rsidR="00562F87" w:rsidRPr="00E962DB">
          <w:rPr>
            <w:noProof/>
            <w:webHidden/>
          </w:rPr>
        </w:r>
        <w:r w:rsidR="00562F87" w:rsidRPr="00E962DB">
          <w:rPr>
            <w:noProof/>
            <w:webHidden/>
          </w:rPr>
          <w:fldChar w:fldCharType="separate"/>
        </w:r>
        <w:r w:rsidR="00E703FE">
          <w:rPr>
            <w:noProof/>
            <w:webHidden/>
          </w:rPr>
          <w:t>10</w:t>
        </w:r>
        <w:r w:rsidR="00562F87" w:rsidRPr="00E962DB">
          <w:rPr>
            <w:noProof/>
            <w:webHidden/>
          </w:rPr>
          <w:fldChar w:fldCharType="end"/>
        </w:r>
      </w:hyperlink>
    </w:p>
    <w:p w14:paraId="4121DA53" w14:textId="223D3E00" w:rsidR="00562F87" w:rsidRPr="00E962DB" w:rsidRDefault="006D7998" w:rsidP="007258E7">
      <w:pPr>
        <w:pStyle w:val="TOC2"/>
        <w:rPr>
          <w:rFonts w:ascii="Calibri" w:hAnsi="Calibri"/>
          <w:noProof/>
          <w:lang w:val="en-GB" w:eastAsia="en-GB"/>
        </w:rPr>
      </w:pPr>
      <w:hyperlink w:anchor="_Toc492290968" w:history="1">
        <w:r w:rsidR="00562F87" w:rsidRPr="00E962DB">
          <w:rPr>
            <w:rStyle w:val="Hyperlink"/>
            <w:noProof/>
            <w:lang w:val="en-GB"/>
          </w:rPr>
          <w:t>B.</w:t>
        </w:r>
        <w:r w:rsidR="00562F87" w:rsidRPr="00E962DB">
          <w:rPr>
            <w:rFonts w:ascii="Calibri" w:hAnsi="Calibri"/>
            <w:noProof/>
            <w:lang w:val="en-GB" w:eastAsia="en-GB"/>
          </w:rPr>
          <w:tab/>
        </w:r>
        <w:r w:rsidR="00562F87" w:rsidRPr="00E962DB">
          <w:rPr>
            <w:rStyle w:val="Hyperlink"/>
            <w:noProof/>
            <w:lang w:val="en-GB"/>
          </w:rPr>
          <w:t>Closed Accounts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_Toc492290968 \h </w:instrText>
        </w:r>
        <w:r w:rsidR="00562F87" w:rsidRPr="00E962DB">
          <w:rPr>
            <w:noProof/>
            <w:webHidden/>
          </w:rPr>
        </w:r>
        <w:r w:rsidR="00562F87" w:rsidRPr="00E962DB">
          <w:rPr>
            <w:noProof/>
            <w:webHidden/>
          </w:rPr>
          <w:fldChar w:fldCharType="separate"/>
        </w:r>
        <w:r w:rsidR="00E703FE">
          <w:rPr>
            <w:noProof/>
            <w:webHidden/>
          </w:rPr>
          <w:t>12</w:t>
        </w:r>
        <w:r w:rsidR="00562F87" w:rsidRPr="00E962DB">
          <w:rPr>
            <w:noProof/>
            <w:webHidden/>
          </w:rPr>
          <w:fldChar w:fldCharType="end"/>
        </w:r>
      </w:hyperlink>
    </w:p>
    <w:p w14:paraId="4AC16D74" w14:textId="0849B786" w:rsidR="00562F87" w:rsidRPr="00E962DB" w:rsidRDefault="006D7998" w:rsidP="007258E7">
      <w:pPr>
        <w:pStyle w:val="TOC2"/>
        <w:rPr>
          <w:rFonts w:ascii="Calibri" w:hAnsi="Calibri"/>
          <w:noProof/>
          <w:lang w:val="en-GB" w:eastAsia="en-GB"/>
        </w:rPr>
      </w:pPr>
      <w:hyperlink w:anchor="_Toc492290969" w:history="1">
        <w:r w:rsidR="00562F87" w:rsidRPr="00E962DB">
          <w:rPr>
            <w:rStyle w:val="Hyperlink"/>
            <w:noProof/>
            <w:lang w:val="en-GB"/>
          </w:rPr>
          <w:t>C.</w:t>
        </w:r>
        <w:r w:rsidR="00562F87" w:rsidRPr="00E962DB">
          <w:rPr>
            <w:rFonts w:ascii="Calibri" w:hAnsi="Calibri"/>
            <w:noProof/>
            <w:lang w:val="en-GB" w:eastAsia="en-GB"/>
          </w:rPr>
          <w:tab/>
        </w:r>
        <w:r w:rsidR="00562F87" w:rsidRPr="00E962DB">
          <w:rPr>
            <w:rStyle w:val="Hyperlink"/>
            <w:noProof/>
            <w:lang w:val="en-GB"/>
          </w:rPr>
          <w:t>Wider Approach</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_Toc492290969 \h </w:instrText>
        </w:r>
        <w:r w:rsidR="00562F87" w:rsidRPr="00E962DB">
          <w:rPr>
            <w:noProof/>
            <w:webHidden/>
          </w:rPr>
        </w:r>
        <w:r w:rsidR="00562F87" w:rsidRPr="00E962DB">
          <w:rPr>
            <w:noProof/>
            <w:webHidden/>
          </w:rPr>
          <w:fldChar w:fldCharType="separate"/>
        </w:r>
        <w:r w:rsidR="00E703FE">
          <w:rPr>
            <w:noProof/>
            <w:webHidden/>
          </w:rPr>
          <w:t>12</w:t>
        </w:r>
        <w:r w:rsidR="00562F87" w:rsidRPr="00E962DB">
          <w:rPr>
            <w:noProof/>
            <w:webHidden/>
          </w:rPr>
          <w:fldChar w:fldCharType="end"/>
        </w:r>
      </w:hyperlink>
    </w:p>
    <w:p w14:paraId="7990EA08" w14:textId="3468518B" w:rsidR="00562F87" w:rsidRPr="00E962DB" w:rsidRDefault="006D7998" w:rsidP="002D4BBB">
      <w:pPr>
        <w:pStyle w:val="TOC1"/>
        <w:rPr>
          <w:rFonts w:ascii="Calibri" w:hAnsi="Calibri"/>
          <w:noProof/>
          <w:lang w:val="en-GB" w:eastAsia="en-GB"/>
        </w:rPr>
      </w:pPr>
      <w:hyperlink w:anchor="_Toc492290970" w:history="1">
        <w:r w:rsidR="00562F87" w:rsidRPr="00E962DB">
          <w:rPr>
            <w:rStyle w:val="Hyperlink"/>
            <w:noProof/>
            <w:lang w:val="en-GB"/>
          </w:rPr>
          <w:t>III.</w:t>
        </w:r>
        <w:r w:rsidR="00562F87" w:rsidRPr="00E962DB">
          <w:rPr>
            <w:rFonts w:ascii="Calibri" w:hAnsi="Calibri"/>
            <w:noProof/>
            <w:lang w:val="en-GB" w:eastAsia="en-GB"/>
          </w:rPr>
          <w:tab/>
        </w:r>
        <w:r w:rsidR="00562F87" w:rsidRPr="00E962DB">
          <w:rPr>
            <w:rStyle w:val="Hyperlink"/>
            <w:noProof/>
            <w:lang w:val="en-GB"/>
          </w:rPr>
          <w:t>KEY DATES UNDER CRS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_Toc492290970 \h </w:instrText>
        </w:r>
        <w:r w:rsidR="00562F87" w:rsidRPr="00E962DB">
          <w:rPr>
            <w:noProof/>
            <w:webHidden/>
          </w:rPr>
        </w:r>
        <w:r w:rsidR="00562F87" w:rsidRPr="00E962DB">
          <w:rPr>
            <w:noProof/>
            <w:webHidden/>
          </w:rPr>
          <w:fldChar w:fldCharType="separate"/>
        </w:r>
        <w:r w:rsidR="00E703FE">
          <w:rPr>
            <w:noProof/>
            <w:webHidden/>
          </w:rPr>
          <w:t>12</w:t>
        </w:r>
        <w:r w:rsidR="00562F87" w:rsidRPr="00E962DB">
          <w:rPr>
            <w:noProof/>
            <w:webHidden/>
          </w:rPr>
          <w:fldChar w:fldCharType="end"/>
        </w:r>
      </w:hyperlink>
    </w:p>
    <w:p w14:paraId="476F2E84" w14:textId="746C9796" w:rsidR="00562F87" w:rsidRPr="00E962DB" w:rsidRDefault="006D7998" w:rsidP="002D4BBB">
      <w:pPr>
        <w:pStyle w:val="TOC1"/>
        <w:rPr>
          <w:rFonts w:ascii="Calibri" w:hAnsi="Calibri"/>
          <w:noProof/>
          <w:lang w:val="en-GB" w:eastAsia="en-GB"/>
        </w:rPr>
      </w:pPr>
      <w:hyperlink w:anchor="_Toc492290971" w:history="1">
        <w:r w:rsidR="00562F87" w:rsidRPr="00E962DB">
          <w:rPr>
            <w:rStyle w:val="Hyperlink"/>
            <w:noProof/>
            <w:lang w:val="en-GB"/>
          </w:rPr>
          <w:t>IV.</w:t>
        </w:r>
        <w:r w:rsidR="00562F87" w:rsidRPr="00E962DB">
          <w:rPr>
            <w:rFonts w:ascii="Calibri" w:hAnsi="Calibri"/>
            <w:noProof/>
            <w:lang w:val="en-GB" w:eastAsia="en-GB"/>
          </w:rPr>
          <w:tab/>
        </w:r>
        <w:r w:rsidR="00562F87" w:rsidRPr="00E962DB">
          <w:rPr>
            <w:rStyle w:val="Hyperlink"/>
            <w:noProof/>
            <w:lang w:val="en-GB"/>
          </w:rPr>
          <w:t>CRS JURISDICTIONS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_Toc492290971 \h </w:instrText>
        </w:r>
        <w:r w:rsidR="00562F87" w:rsidRPr="00E962DB">
          <w:rPr>
            <w:noProof/>
            <w:webHidden/>
          </w:rPr>
        </w:r>
        <w:r w:rsidR="00562F87" w:rsidRPr="00E962DB">
          <w:rPr>
            <w:noProof/>
            <w:webHidden/>
          </w:rPr>
          <w:fldChar w:fldCharType="separate"/>
        </w:r>
        <w:r w:rsidR="00E703FE">
          <w:rPr>
            <w:noProof/>
            <w:webHidden/>
          </w:rPr>
          <w:t>14</w:t>
        </w:r>
        <w:r w:rsidR="00562F87" w:rsidRPr="00E962DB">
          <w:rPr>
            <w:noProof/>
            <w:webHidden/>
          </w:rPr>
          <w:fldChar w:fldCharType="end"/>
        </w:r>
      </w:hyperlink>
    </w:p>
    <w:p w14:paraId="0F58504D" w14:textId="64CFC975" w:rsidR="00562F87" w:rsidRPr="00E962DB" w:rsidRDefault="006D7998" w:rsidP="007258E7">
      <w:pPr>
        <w:pStyle w:val="TOC2"/>
        <w:rPr>
          <w:rFonts w:ascii="Calibri" w:hAnsi="Calibri"/>
          <w:noProof/>
          <w:lang w:val="en-GB" w:eastAsia="en-GB"/>
        </w:rPr>
      </w:pPr>
      <w:hyperlink w:anchor="_Toc492290972" w:history="1">
        <w:r w:rsidR="00562F87" w:rsidRPr="00E962DB">
          <w:rPr>
            <w:rStyle w:val="Hyperlink"/>
            <w:noProof/>
            <w:lang w:val="en-GB"/>
          </w:rPr>
          <w:t>A.</w:t>
        </w:r>
        <w:r w:rsidR="00562F87" w:rsidRPr="00E962DB">
          <w:rPr>
            <w:rFonts w:ascii="Calibri" w:hAnsi="Calibri"/>
            <w:noProof/>
            <w:lang w:val="en-GB" w:eastAsia="en-GB"/>
          </w:rPr>
          <w:tab/>
        </w:r>
        <w:r w:rsidR="00562F87" w:rsidRPr="00E962DB">
          <w:rPr>
            <w:rStyle w:val="Hyperlink"/>
            <w:noProof/>
            <w:lang w:val="en-GB"/>
          </w:rPr>
          <w:t>Participating Jurisdictions List</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_Toc492290972 \h </w:instrText>
        </w:r>
        <w:r w:rsidR="00562F87" w:rsidRPr="00E962DB">
          <w:rPr>
            <w:noProof/>
            <w:webHidden/>
          </w:rPr>
        </w:r>
        <w:r w:rsidR="00562F87" w:rsidRPr="00E962DB">
          <w:rPr>
            <w:noProof/>
            <w:webHidden/>
          </w:rPr>
          <w:fldChar w:fldCharType="separate"/>
        </w:r>
        <w:r w:rsidR="00E703FE">
          <w:rPr>
            <w:noProof/>
            <w:webHidden/>
          </w:rPr>
          <w:t>14</w:t>
        </w:r>
        <w:r w:rsidR="00562F87" w:rsidRPr="00E962DB">
          <w:rPr>
            <w:noProof/>
            <w:webHidden/>
          </w:rPr>
          <w:fldChar w:fldCharType="end"/>
        </w:r>
      </w:hyperlink>
    </w:p>
    <w:p w14:paraId="4A0D655A" w14:textId="37C33DCC" w:rsidR="00562F87" w:rsidRPr="00E962DB" w:rsidRDefault="006D7998" w:rsidP="007258E7">
      <w:pPr>
        <w:pStyle w:val="TOC2"/>
        <w:rPr>
          <w:rFonts w:ascii="Calibri" w:hAnsi="Calibri"/>
          <w:noProof/>
          <w:lang w:val="en-GB" w:eastAsia="en-GB"/>
        </w:rPr>
      </w:pPr>
      <w:hyperlink w:anchor="_Toc492290973" w:history="1">
        <w:r w:rsidR="00562F87" w:rsidRPr="00E962DB">
          <w:rPr>
            <w:rStyle w:val="Hyperlink"/>
            <w:noProof/>
            <w:lang w:val="en-GB"/>
          </w:rPr>
          <w:t>B.</w:t>
        </w:r>
        <w:r w:rsidR="00562F87" w:rsidRPr="00E962DB">
          <w:rPr>
            <w:rFonts w:ascii="Calibri" w:hAnsi="Calibri"/>
            <w:noProof/>
            <w:lang w:val="en-GB" w:eastAsia="en-GB"/>
          </w:rPr>
          <w:tab/>
        </w:r>
        <w:r w:rsidR="00562F87" w:rsidRPr="00E962DB">
          <w:rPr>
            <w:rStyle w:val="Hyperlink"/>
            <w:noProof/>
            <w:lang w:val="en-GB"/>
          </w:rPr>
          <w:t>Reportable Jurisdictions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_Toc492290973 \h </w:instrText>
        </w:r>
        <w:r w:rsidR="00562F87" w:rsidRPr="00E962DB">
          <w:rPr>
            <w:noProof/>
            <w:webHidden/>
          </w:rPr>
        </w:r>
        <w:r w:rsidR="00562F87" w:rsidRPr="00E962DB">
          <w:rPr>
            <w:noProof/>
            <w:webHidden/>
          </w:rPr>
          <w:fldChar w:fldCharType="separate"/>
        </w:r>
        <w:r w:rsidR="00E703FE">
          <w:rPr>
            <w:noProof/>
            <w:webHidden/>
          </w:rPr>
          <w:t>14</w:t>
        </w:r>
        <w:r w:rsidR="00562F87" w:rsidRPr="00E962DB">
          <w:rPr>
            <w:noProof/>
            <w:webHidden/>
          </w:rPr>
          <w:fldChar w:fldCharType="end"/>
        </w:r>
      </w:hyperlink>
    </w:p>
    <w:p w14:paraId="7EF5FD31" w14:textId="6F8509FB" w:rsidR="00562F87" w:rsidRPr="00E962DB" w:rsidRDefault="006D7998" w:rsidP="002D4BBB">
      <w:pPr>
        <w:pStyle w:val="TOC1"/>
        <w:rPr>
          <w:rFonts w:ascii="Calibri" w:hAnsi="Calibri"/>
          <w:noProof/>
          <w:lang w:val="en-GB" w:eastAsia="en-GB"/>
        </w:rPr>
      </w:pPr>
      <w:hyperlink w:anchor="_Toc492290974" w:history="1">
        <w:r w:rsidR="00562F87" w:rsidRPr="00E962DB">
          <w:rPr>
            <w:rStyle w:val="Hyperlink"/>
            <w:noProof/>
            <w:lang w:val="en-GB"/>
          </w:rPr>
          <w:t>V.</w:t>
        </w:r>
        <w:r w:rsidR="00562F87" w:rsidRPr="00E962DB">
          <w:rPr>
            <w:rFonts w:ascii="Calibri" w:hAnsi="Calibri"/>
            <w:noProof/>
            <w:lang w:val="en-GB" w:eastAsia="en-GB"/>
          </w:rPr>
          <w:tab/>
        </w:r>
        <w:r w:rsidR="00562F87" w:rsidRPr="00E962DB">
          <w:rPr>
            <w:rStyle w:val="Hyperlink"/>
            <w:noProof/>
            <w:lang w:val="en-GB"/>
          </w:rPr>
          <w:t>GUIDANCE ON TECHNICAL ISSUES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_Toc492290974 \h </w:instrText>
        </w:r>
        <w:r w:rsidR="00562F87" w:rsidRPr="00E962DB">
          <w:rPr>
            <w:noProof/>
            <w:webHidden/>
          </w:rPr>
        </w:r>
        <w:r w:rsidR="00562F87" w:rsidRPr="00E962DB">
          <w:rPr>
            <w:noProof/>
            <w:webHidden/>
          </w:rPr>
          <w:fldChar w:fldCharType="separate"/>
        </w:r>
        <w:r w:rsidR="00E703FE">
          <w:rPr>
            <w:noProof/>
            <w:webHidden/>
          </w:rPr>
          <w:t>15</w:t>
        </w:r>
        <w:r w:rsidR="00562F87" w:rsidRPr="00E962DB">
          <w:rPr>
            <w:noProof/>
            <w:webHidden/>
          </w:rPr>
          <w:fldChar w:fldCharType="end"/>
        </w:r>
      </w:hyperlink>
    </w:p>
    <w:p w14:paraId="3DFF364A" w14:textId="703C626E" w:rsidR="00562F87" w:rsidRPr="00E962DB" w:rsidRDefault="006D7998" w:rsidP="007258E7">
      <w:pPr>
        <w:pStyle w:val="TOC2"/>
        <w:rPr>
          <w:rFonts w:ascii="Calibri" w:hAnsi="Calibri"/>
          <w:noProof/>
          <w:lang w:val="en-GB" w:eastAsia="en-GB"/>
        </w:rPr>
      </w:pPr>
      <w:hyperlink w:anchor="_Toc492290975" w:history="1">
        <w:r w:rsidR="00562F87" w:rsidRPr="00E962DB">
          <w:rPr>
            <w:rStyle w:val="Hyperlink"/>
            <w:noProof/>
          </w:rPr>
          <w:t>A.</w:t>
        </w:r>
        <w:r w:rsidR="00562F87" w:rsidRPr="00E962DB">
          <w:rPr>
            <w:rFonts w:ascii="Calibri" w:hAnsi="Calibri"/>
            <w:noProof/>
            <w:lang w:val="en-GB" w:eastAsia="en-GB"/>
          </w:rPr>
          <w:tab/>
        </w:r>
        <w:r w:rsidR="00562F87" w:rsidRPr="00E962DB">
          <w:rPr>
            <w:rStyle w:val="Hyperlink"/>
            <w:noProof/>
          </w:rPr>
          <w:t>Self-Certifications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_Toc492290975 \h </w:instrText>
        </w:r>
        <w:r w:rsidR="00562F87" w:rsidRPr="00E962DB">
          <w:rPr>
            <w:noProof/>
            <w:webHidden/>
          </w:rPr>
        </w:r>
        <w:r w:rsidR="00562F87" w:rsidRPr="00E962DB">
          <w:rPr>
            <w:noProof/>
            <w:webHidden/>
          </w:rPr>
          <w:fldChar w:fldCharType="separate"/>
        </w:r>
        <w:r w:rsidR="00E703FE">
          <w:rPr>
            <w:noProof/>
            <w:webHidden/>
          </w:rPr>
          <w:t>15</w:t>
        </w:r>
        <w:r w:rsidR="00562F87" w:rsidRPr="00E962DB">
          <w:rPr>
            <w:noProof/>
            <w:webHidden/>
          </w:rPr>
          <w:fldChar w:fldCharType="end"/>
        </w:r>
      </w:hyperlink>
    </w:p>
    <w:p w14:paraId="02D28788" w14:textId="0B898699" w:rsidR="00562F87" w:rsidRPr="00E962DB" w:rsidRDefault="006D7998" w:rsidP="007258E7">
      <w:pPr>
        <w:pStyle w:val="TOC2"/>
        <w:rPr>
          <w:rFonts w:ascii="Calibri" w:hAnsi="Calibri"/>
          <w:noProof/>
          <w:lang w:val="en-GB" w:eastAsia="en-GB"/>
        </w:rPr>
      </w:pPr>
      <w:hyperlink w:anchor="_Toc492290976" w:history="1">
        <w:r w:rsidR="00562F87" w:rsidRPr="00E962DB">
          <w:rPr>
            <w:rStyle w:val="Hyperlink"/>
            <w:noProof/>
            <w:lang w:val="en-GB"/>
          </w:rPr>
          <w:t>B.</w:t>
        </w:r>
        <w:r w:rsidR="00562F87" w:rsidRPr="00E962DB">
          <w:rPr>
            <w:rFonts w:ascii="Calibri" w:hAnsi="Calibri"/>
            <w:noProof/>
            <w:lang w:val="en-GB" w:eastAsia="en-GB"/>
          </w:rPr>
          <w:tab/>
        </w:r>
        <w:r w:rsidR="00562F87" w:rsidRPr="00E962DB">
          <w:rPr>
            <w:rStyle w:val="Hyperlink"/>
            <w:noProof/>
            <w:lang w:val="en-GB"/>
          </w:rPr>
          <w:t>CRS Implementation Options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_Toc492290976 \h </w:instrText>
        </w:r>
        <w:r w:rsidR="00562F87" w:rsidRPr="00E962DB">
          <w:rPr>
            <w:noProof/>
            <w:webHidden/>
          </w:rPr>
        </w:r>
        <w:r w:rsidR="00562F87" w:rsidRPr="00E962DB">
          <w:rPr>
            <w:noProof/>
            <w:webHidden/>
          </w:rPr>
          <w:fldChar w:fldCharType="separate"/>
        </w:r>
        <w:r w:rsidR="00E703FE">
          <w:rPr>
            <w:noProof/>
            <w:webHidden/>
          </w:rPr>
          <w:t>18</w:t>
        </w:r>
        <w:r w:rsidR="00562F87" w:rsidRPr="00E962DB">
          <w:rPr>
            <w:noProof/>
            <w:webHidden/>
          </w:rPr>
          <w:fldChar w:fldCharType="end"/>
        </w:r>
      </w:hyperlink>
    </w:p>
    <w:p w14:paraId="61A62D4B" w14:textId="60571201" w:rsidR="00562F87" w:rsidRPr="00E962DB" w:rsidRDefault="006D7998" w:rsidP="007258E7">
      <w:pPr>
        <w:pStyle w:val="TOC2"/>
        <w:rPr>
          <w:rFonts w:ascii="Calibri" w:hAnsi="Calibri"/>
          <w:noProof/>
          <w:lang w:val="en-GB" w:eastAsia="en-GB"/>
        </w:rPr>
      </w:pPr>
      <w:hyperlink w:anchor="_Toc492290977" w:history="1">
        <w:r w:rsidR="00562F87" w:rsidRPr="00E962DB">
          <w:rPr>
            <w:rStyle w:val="Hyperlink"/>
            <w:noProof/>
            <w:lang w:val="en-GB"/>
          </w:rPr>
          <w:t>C.</w:t>
        </w:r>
        <w:r w:rsidR="00562F87" w:rsidRPr="00E962DB">
          <w:rPr>
            <w:rFonts w:ascii="Calibri" w:hAnsi="Calibri"/>
            <w:noProof/>
            <w:lang w:val="en-GB" w:eastAsia="en-GB"/>
          </w:rPr>
          <w:tab/>
        </w:r>
        <w:r w:rsidR="00562F87" w:rsidRPr="00E962DB">
          <w:rPr>
            <w:rStyle w:val="Hyperlink"/>
            <w:noProof/>
            <w:lang w:val="en-GB"/>
          </w:rPr>
          <w:t>Reporting Periods Other Than Calendar Year</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_Toc492290977 \h </w:instrText>
        </w:r>
        <w:r w:rsidR="00562F87" w:rsidRPr="00E962DB">
          <w:rPr>
            <w:noProof/>
            <w:webHidden/>
          </w:rPr>
        </w:r>
        <w:r w:rsidR="00562F87" w:rsidRPr="00E962DB">
          <w:rPr>
            <w:noProof/>
            <w:webHidden/>
          </w:rPr>
          <w:fldChar w:fldCharType="separate"/>
        </w:r>
        <w:r w:rsidR="00E703FE">
          <w:rPr>
            <w:noProof/>
            <w:webHidden/>
          </w:rPr>
          <w:t>21</w:t>
        </w:r>
        <w:r w:rsidR="00562F87" w:rsidRPr="00E962DB">
          <w:rPr>
            <w:noProof/>
            <w:webHidden/>
          </w:rPr>
          <w:fldChar w:fldCharType="end"/>
        </w:r>
      </w:hyperlink>
    </w:p>
    <w:p w14:paraId="3F247BA0" w14:textId="02C7A362" w:rsidR="00562F87" w:rsidRPr="00E962DB" w:rsidRDefault="006D7998" w:rsidP="007258E7">
      <w:pPr>
        <w:pStyle w:val="TOC2"/>
        <w:rPr>
          <w:rFonts w:ascii="Calibri" w:hAnsi="Calibri"/>
          <w:noProof/>
          <w:lang w:val="en-GB" w:eastAsia="en-GB"/>
        </w:rPr>
      </w:pPr>
      <w:hyperlink w:anchor="_Toc492290978" w:history="1">
        <w:r w:rsidR="00562F87" w:rsidRPr="00E962DB">
          <w:rPr>
            <w:rStyle w:val="Hyperlink"/>
            <w:noProof/>
            <w:lang w:val="en-GB"/>
          </w:rPr>
          <w:t>D.</w:t>
        </w:r>
        <w:r w:rsidR="00562F87" w:rsidRPr="00E962DB">
          <w:rPr>
            <w:rFonts w:ascii="Calibri" w:hAnsi="Calibri"/>
            <w:noProof/>
            <w:lang w:val="en-GB" w:eastAsia="en-GB"/>
          </w:rPr>
          <w:tab/>
        </w:r>
        <w:r w:rsidR="00562F87" w:rsidRPr="00E962DB">
          <w:rPr>
            <w:rStyle w:val="Hyperlink"/>
            <w:noProof/>
            <w:lang w:val="en-GB"/>
          </w:rPr>
          <w:t>Nil returns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_Toc492290978 \h </w:instrText>
        </w:r>
        <w:r w:rsidR="00562F87" w:rsidRPr="00E962DB">
          <w:rPr>
            <w:noProof/>
            <w:webHidden/>
          </w:rPr>
        </w:r>
        <w:r w:rsidR="00562F87" w:rsidRPr="00E962DB">
          <w:rPr>
            <w:noProof/>
            <w:webHidden/>
          </w:rPr>
          <w:fldChar w:fldCharType="separate"/>
        </w:r>
        <w:r w:rsidR="00E703FE">
          <w:rPr>
            <w:noProof/>
            <w:webHidden/>
          </w:rPr>
          <w:t>21</w:t>
        </w:r>
        <w:r w:rsidR="00562F87" w:rsidRPr="00E962DB">
          <w:rPr>
            <w:noProof/>
            <w:webHidden/>
          </w:rPr>
          <w:fldChar w:fldCharType="end"/>
        </w:r>
      </w:hyperlink>
    </w:p>
    <w:p w14:paraId="75A790BF" w14:textId="59586AE4" w:rsidR="00562F87" w:rsidRPr="00E962DB" w:rsidRDefault="006D7998" w:rsidP="007258E7">
      <w:pPr>
        <w:pStyle w:val="TOC2"/>
        <w:rPr>
          <w:rFonts w:ascii="Calibri" w:hAnsi="Calibri"/>
          <w:noProof/>
          <w:lang w:val="en-GB" w:eastAsia="en-GB"/>
        </w:rPr>
      </w:pPr>
      <w:hyperlink w:anchor="_Toc492290979" w:history="1">
        <w:r w:rsidR="00562F87" w:rsidRPr="00E962DB">
          <w:rPr>
            <w:rStyle w:val="Hyperlink"/>
            <w:noProof/>
            <w:lang w:val="en-GB"/>
          </w:rPr>
          <w:t>E.</w:t>
        </w:r>
        <w:r w:rsidR="00562F87" w:rsidRPr="00E962DB">
          <w:rPr>
            <w:rFonts w:ascii="Calibri" w:hAnsi="Calibri"/>
            <w:noProof/>
            <w:lang w:val="en-GB" w:eastAsia="en-GB"/>
          </w:rPr>
          <w:tab/>
        </w:r>
        <w:r w:rsidR="00562F87" w:rsidRPr="00E962DB">
          <w:rPr>
            <w:rStyle w:val="Hyperlink"/>
            <w:noProof/>
            <w:lang w:val="en-GB"/>
          </w:rPr>
          <w:t>Third party service providers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_Toc492290979 \h </w:instrText>
        </w:r>
        <w:r w:rsidR="00562F87" w:rsidRPr="00E962DB">
          <w:rPr>
            <w:noProof/>
            <w:webHidden/>
          </w:rPr>
        </w:r>
        <w:r w:rsidR="00562F87" w:rsidRPr="00E962DB">
          <w:rPr>
            <w:noProof/>
            <w:webHidden/>
          </w:rPr>
          <w:fldChar w:fldCharType="separate"/>
        </w:r>
        <w:r w:rsidR="00E703FE">
          <w:rPr>
            <w:noProof/>
            <w:webHidden/>
          </w:rPr>
          <w:t>21</w:t>
        </w:r>
        <w:r w:rsidR="00562F87" w:rsidRPr="00E962DB">
          <w:rPr>
            <w:noProof/>
            <w:webHidden/>
          </w:rPr>
          <w:fldChar w:fldCharType="end"/>
        </w:r>
      </w:hyperlink>
    </w:p>
    <w:p w14:paraId="3868F79B" w14:textId="36B954E5" w:rsidR="00562F87" w:rsidRPr="00E962DB" w:rsidRDefault="006D7998" w:rsidP="007258E7">
      <w:pPr>
        <w:pStyle w:val="TOC2"/>
        <w:rPr>
          <w:rFonts w:ascii="Calibri" w:hAnsi="Calibri"/>
          <w:noProof/>
          <w:lang w:val="en-GB" w:eastAsia="en-GB"/>
        </w:rPr>
      </w:pPr>
      <w:hyperlink w:anchor="_Toc492290980" w:history="1">
        <w:r w:rsidR="00562F87" w:rsidRPr="00E962DB">
          <w:rPr>
            <w:rStyle w:val="Hyperlink"/>
            <w:noProof/>
            <w:lang w:val="en-GB"/>
          </w:rPr>
          <w:t>F.</w:t>
        </w:r>
        <w:r w:rsidR="00562F87" w:rsidRPr="00E962DB">
          <w:rPr>
            <w:rFonts w:ascii="Calibri" w:hAnsi="Calibri"/>
            <w:noProof/>
            <w:lang w:val="en-GB" w:eastAsia="en-GB"/>
          </w:rPr>
          <w:tab/>
        </w:r>
        <w:r w:rsidR="00562F87" w:rsidRPr="00E962DB">
          <w:rPr>
            <w:rStyle w:val="Hyperlink"/>
            <w:noProof/>
            <w:lang w:val="en-GB"/>
          </w:rPr>
          <w:t>Threshold Exemption</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_Toc492290980 \h </w:instrText>
        </w:r>
        <w:r w:rsidR="00562F87" w:rsidRPr="00E962DB">
          <w:rPr>
            <w:noProof/>
            <w:webHidden/>
          </w:rPr>
        </w:r>
        <w:r w:rsidR="00562F87" w:rsidRPr="00E962DB">
          <w:rPr>
            <w:noProof/>
            <w:webHidden/>
          </w:rPr>
          <w:fldChar w:fldCharType="separate"/>
        </w:r>
        <w:r w:rsidR="00E703FE">
          <w:rPr>
            <w:noProof/>
            <w:webHidden/>
          </w:rPr>
          <w:t>22</w:t>
        </w:r>
        <w:r w:rsidR="00562F87" w:rsidRPr="00E962DB">
          <w:rPr>
            <w:noProof/>
            <w:webHidden/>
          </w:rPr>
          <w:fldChar w:fldCharType="end"/>
        </w:r>
      </w:hyperlink>
    </w:p>
    <w:p w14:paraId="2DEFD7D7" w14:textId="7CE19EBC" w:rsidR="00562F87" w:rsidRPr="00E962DB" w:rsidRDefault="006D7998" w:rsidP="007258E7">
      <w:pPr>
        <w:pStyle w:val="TOC2"/>
        <w:rPr>
          <w:rFonts w:ascii="Calibri" w:hAnsi="Calibri"/>
          <w:noProof/>
          <w:lang w:val="en-GB" w:eastAsia="en-GB"/>
        </w:rPr>
      </w:pPr>
      <w:hyperlink w:anchor="_Toc492290981" w:history="1">
        <w:r w:rsidR="00562F87" w:rsidRPr="00E962DB">
          <w:rPr>
            <w:rStyle w:val="Hyperlink"/>
            <w:noProof/>
            <w:lang w:val="en-GB"/>
          </w:rPr>
          <w:t>G.</w:t>
        </w:r>
        <w:r w:rsidR="00562F87" w:rsidRPr="00E962DB">
          <w:rPr>
            <w:rFonts w:ascii="Calibri" w:hAnsi="Calibri"/>
            <w:noProof/>
            <w:lang w:val="en-GB" w:eastAsia="en-GB"/>
          </w:rPr>
          <w:tab/>
        </w:r>
        <w:r w:rsidR="00562F87" w:rsidRPr="00E962DB">
          <w:rPr>
            <w:rStyle w:val="Hyperlink"/>
            <w:noProof/>
            <w:lang w:val="en-GB"/>
          </w:rPr>
          <w:t>Due Diligence Modifications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_Toc492290981 \h </w:instrText>
        </w:r>
        <w:r w:rsidR="00562F87" w:rsidRPr="00E962DB">
          <w:rPr>
            <w:noProof/>
            <w:webHidden/>
          </w:rPr>
        </w:r>
        <w:r w:rsidR="00562F87" w:rsidRPr="00E962DB">
          <w:rPr>
            <w:noProof/>
            <w:webHidden/>
          </w:rPr>
          <w:fldChar w:fldCharType="separate"/>
        </w:r>
        <w:r w:rsidR="00E703FE">
          <w:rPr>
            <w:noProof/>
            <w:webHidden/>
          </w:rPr>
          <w:t>23</w:t>
        </w:r>
        <w:r w:rsidR="00562F87" w:rsidRPr="00E962DB">
          <w:rPr>
            <w:noProof/>
            <w:webHidden/>
          </w:rPr>
          <w:fldChar w:fldCharType="end"/>
        </w:r>
      </w:hyperlink>
    </w:p>
    <w:p w14:paraId="65382779" w14:textId="2AA94721" w:rsidR="00562F87" w:rsidRPr="00E962DB" w:rsidRDefault="006D7998" w:rsidP="007258E7">
      <w:pPr>
        <w:pStyle w:val="TOC2"/>
        <w:rPr>
          <w:rFonts w:ascii="Calibri" w:hAnsi="Calibri"/>
          <w:noProof/>
          <w:lang w:val="en-GB" w:eastAsia="en-GB"/>
        </w:rPr>
      </w:pPr>
      <w:hyperlink w:anchor="_Toc492290982" w:history="1">
        <w:r w:rsidR="00562F87" w:rsidRPr="00E962DB">
          <w:rPr>
            <w:rStyle w:val="Hyperlink"/>
            <w:noProof/>
            <w:lang w:val="en-GB"/>
          </w:rPr>
          <w:t>H.</w:t>
        </w:r>
        <w:r w:rsidR="00562F87" w:rsidRPr="00E962DB">
          <w:rPr>
            <w:rFonts w:ascii="Calibri" w:hAnsi="Calibri"/>
            <w:noProof/>
            <w:lang w:val="en-GB" w:eastAsia="en-GB"/>
          </w:rPr>
          <w:tab/>
        </w:r>
        <w:r w:rsidR="00562F87" w:rsidRPr="00E962DB">
          <w:rPr>
            <w:rStyle w:val="Hyperlink"/>
            <w:noProof/>
            <w:lang w:val="en-GB"/>
          </w:rPr>
          <w:t>Residence Address Test for Lower Value Accounts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_Toc492290982 \h </w:instrText>
        </w:r>
        <w:r w:rsidR="00562F87" w:rsidRPr="00E962DB">
          <w:rPr>
            <w:noProof/>
            <w:webHidden/>
          </w:rPr>
        </w:r>
        <w:r w:rsidR="00562F87" w:rsidRPr="00E962DB">
          <w:rPr>
            <w:noProof/>
            <w:webHidden/>
          </w:rPr>
          <w:fldChar w:fldCharType="separate"/>
        </w:r>
        <w:r w:rsidR="00E703FE">
          <w:rPr>
            <w:noProof/>
            <w:webHidden/>
          </w:rPr>
          <w:t>23</w:t>
        </w:r>
        <w:r w:rsidR="00562F87" w:rsidRPr="00E962DB">
          <w:rPr>
            <w:noProof/>
            <w:webHidden/>
          </w:rPr>
          <w:fldChar w:fldCharType="end"/>
        </w:r>
      </w:hyperlink>
    </w:p>
    <w:p w14:paraId="364F3B07" w14:textId="1559832F" w:rsidR="00562F87" w:rsidRPr="00E962DB" w:rsidRDefault="006D7998" w:rsidP="007258E7">
      <w:pPr>
        <w:pStyle w:val="TOC2"/>
        <w:rPr>
          <w:rFonts w:ascii="Calibri" w:hAnsi="Calibri"/>
          <w:noProof/>
          <w:lang w:val="en-GB" w:eastAsia="en-GB"/>
        </w:rPr>
      </w:pPr>
      <w:hyperlink w:anchor="_Toc492290983" w:history="1">
        <w:r w:rsidR="00562F87" w:rsidRPr="00E962DB">
          <w:rPr>
            <w:rStyle w:val="Hyperlink"/>
            <w:noProof/>
            <w:lang w:val="en-GB"/>
          </w:rPr>
          <w:t>I.</w:t>
        </w:r>
        <w:r w:rsidR="00562F87" w:rsidRPr="00E962DB">
          <w:rPr>
            <w:rFonts w:ascii="Calibri" w:hAnsi="Calibri"/>
            <w:noProof/>
            <w:lang w:val="en-GB" w:eastAsia="en-GB"/>
          </w:rPr>
          <w:tab/>
        </w:r>
        <w:r w:rsidR="00562F87" w:rsidRPr="00E962DB">
          <w:rPr>
            <w:rStyle w:val="Hyperlink"/>
            <w:noProof/>
            <w:lang w:val="en-GB"/>
          </w:rPr>
          <w:t>Group Cash Value Insurance Contracts or Group Annuity Contracts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_Toc492290983 \h </w:instrText>
        </w:r>
        <w:r w:rsidR="00562F87" w:rsidRPr="00E962DB">
          <w:rPr>
            <w:noProof/>
            <w:webHidden/>
          </w:rPr>
        </w:r>
        <w:r w:rsidR="00562F87" w:rsidRPr="00E962DB">
          <w:rPr>
            <w:noProof/>
            <w:webHidden/>
          </w:rPr>
          <w:fldChar w:fldCharType="separate"/>
        </w:r>
        <w:r w:rsidR="00E703FE">
          <w:rPr>
            <w:noProof/>
            <w:webHidden/>
          </w:rPr>
          <w:t>23</w:t>
        </w:r>
        <w:r w:rsidR="00562F87" w:rsidRPr="00E962DB">
          <w:rPr>
            <w:noProof/>
            <w:webHidden/>
          </w:rPr>
          <w:fldChar w:fldCharType="end"/>
        </w:r>
      </w:hyperlink>
    </w:p>
    <w:p w14:paraId="18984EDE" w14:textId="71E961D5" w:rsidR="00562F87" w:rsidRPr="00E962DB" w:rsidRDefault="006D7998" w:rsidP="007258E7">
      <w:pPr>
        <w:pStyle w:val="TOC2"/>
        <w:rPr>
          <w:rFonts w:ascii="Calibri" w:hAnsi="Calibri"/>
          <w:noProof/>
          <w:lang w:val="en-GB" w:eastAsia="en-GB"/>
        </w:rPr>
      </w:pPr>
      <w:hyperlink w:anchor="_Toc492290984" w:history="1">
        <w:r w:rsidR="00562F87" w:rsidRPr="00E962DB">
          <w:rPr>
            <w:rStyle w:val="Hyperlink"/>
            <w:noProof/>
            <w:lang w:val="en-GB"/>
          </w:rPr>
          <w:t>J.</w:t>
        </w:r>
        <w:r w:rsidR="00562F87" w:rsidRPr="00E962DB">
          <w:rPr>
            <w:rFonts w:ascii="Calibri" w:hAnsi="Calibri"/>
            <w:noProof/>
            <w:lang w:val="en-GB" w:eastAsia="en-GB"/>
          </w:rPr>
          <w:tab/>
        </w:r>
        <w:r w:rsidR="00562F87" w:rsidRPr="00E962DB">
          <w:rPr>
            <w:rStyle w:val="Hyperlink"/>
            <w:noProof/>
            <w:lang w:val="en-GB"/>
          </w:rPr>
          <w:t>Currency Translation</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_Toc492290984 \h </w:instrText>
        </w:r>
        <w:r w:rsidR="00562F87" w:rsidRPr="00E962DB">
          <w:rPr>
            <w:noProof/>
            <w:webHidden/>
          </w:rPr>
        </w:r>
        <w:r w:rsidR="00562F87" w:rsidRPr="00E962DB">
          <w:rPr>
            <w:noProof/>
            <w:webHidden/>
          </w:rPr>
          <w:fldChar w:fldCharType="separate"/>
        </w:r>
        <w:r w:rsidR="00E703FE">
          <w:rPr>
            <w:noProof/>
            <w:webHidden/>
          </w:rPr>
          <w:t>24</w:t>
        </w:r>
        <w:r w:rsidR="00562F87" w:rsidRPr="00E962DB">
          <w:rPr>
            <w:noProof/>
            <w:webHidden/>
          </w:rPr>
          <w:fldChar w:fldCharType="end"/>
        </w:r>
      </w:hyperlink>
    </w:p>
    <w:p w14:paraId="26164D87" w14:textId="4665A0D4" w:rsidR="00562F87" w:rsidRPr="00E962DB" w:rsidRDefault="006D7998" w:rsidP="007258E7">
      <w:pPr>
        <w:pStyle w:val="TOC2"/>
        <w:rPr>
          <w:rFonts w:ascii="Calibri" w:hAnsi="Calibri"/>
          <w:noProof/>
          <w:lang w:val="en-GB" w:eastAsia="en-GB"/>
        </w:rPr>
      </w:pPr>
      <w:hyperlink w:anchor="_Toc492290985" w:history="1">
        <w:r w:rsidR="00562F87" w:rsidRPr="00E962DB">
          <w:rPr>
            <w:rStyle w:val="Hyperlink"/>
            <w:noProof/>
            <w:lang w:val="en-GB"/>
          </w:rPr>
          <w:t>K.</w:t>
        </w:r>
        <w:r w:rsidR="00562F87" w:rsidRPr="00E962DB">
          <w:rPr>
            <w:rFonts w:ascii="Calibri" w:hAnsi="Calibri"/>
            <w:noProof/>
            <w:lang w:val="en-GB" w:eastAsia="en-GB"/>
          </w:rPr>
          <w:tab/>
        </w:r>
        <w:r w:rsidR="00562F87" w:rsidRPr="00E962DB">
          <w:rPr>
            <w:rStyle w:val="Hyperlink"/>
            <w:noProof/>
            <w:lang w:val="en-GB"/>
          </w:rPr>
          <w:t>Expanded Definitions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_Toc492290985 \h </w:instrText>
        </w:r>
        <w:r w:rsidR="00562F87" w:rsidRPr="00E962DB">
          <w:rPr>
            <w:noProof/>
            <w:webHidden/>
          </w:rPr>
        </w:r>
        <w:r w:rsidR="00562F87" w:rsidRPr="00E962DB">
          <w:rPr>
            <w:noProof/>
            <w:webHidden/>
          </w:rPr>
          <w:fldChar w:fldCharType="separate"/>
        </w:r>
        <w:r w:rsidR="00E703FE">
          <w:rPr>
            <w:noProof/>
            <w:webHidden/>
          </w:rPr>
          <w:t>24</w:t>
        </w:r>
        <w:r w:rsidR="00562F87" w:rsidRPr="00E962DB">
          <w:rPr>
            <w:noProof/>
            <w:webHidden/>
          </w:rPr>
          <w:fldChar w:fldCharType="end"/>
        </w:r>
      </w:hyperlink>
    </w:p>
    <w:p w14:paraId="40A8F455" w14:textId="6706E743" w:rsidR="00562F87" w:rsidRPr="00E962DB" w:rsidRDefault="006D7998" w:rsidP="002D4BBB">
      <w:pPr>
        <w:pStyle w:val="TOC1"/>
        <w:rPr>
          <w:rFonts w:ascii="Calibri" w:hAnsi="Calibri"/>
          <w:noProof/>
          <w:lang w:val="en-GB" w:eastAsia="en-GB"/>
        </w:rPr>
      </w:pPr>
      <w:hyperlink w:anchor="_Toc492290986" w:history="1">
        <w:r w:rsidR="00562F87" w:rsidRPr="00E962DB">
          <w:rPr>
            <w:rStyle w:val="Hyperlink"/>
            <w:noProof/>
            <w:lang w:val="en-GB"/>
          </w:rPr>
          <w:t>VI.</w:t>
        </w:r>
        <w:r w:rsidR="00562F87" w:rsidRPr="00E962DB">
          <w:rPr>
            <w:rFonts w:ascii="Calibri" w:hAnsi="Calibri"/>
            <w:noProof/>
            <w:lang w:val="en-GB" w:eastAsia="en-GB"/>
          </w:rPr>
          <w:tab/>
        </w:r>
        <w:r w:rsidR="00562F87" w:rsidRPr="00E962DB">
          <w:rPr>
            <w:rStyle w:val="Hyperlink"/>
            <w:noProof/>
            <w:lang w:val="en-GB"/>
          </w:rPr>
          <w:t>IDENTIFICATION OF CONTROLLING PERSONS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_Toc492290986 \h </w:instrText>
        </w:r>
        <w:r w:rsidR="00562F87" w:rsidRPr="00E962DB">
          <w:rPr>
            <w:noProof/>
            <w:webHidden/>
          </w:rPr>
        </w:r>
        <w:r w:rsidR="00562F87" w:rsidRPr="00E962DB">
          <w:rPr>
            <w:noProof/>
            <w:webHidden/>
          </w:rPr>
          <w:fldChar w:fldCharType="separate"/>
        </w:r>
        <w:r w:rsidR="00E703FE">
          <w:rPr>
            <w:noProof/>
            <w:webHidden/>
          </w:rPr>
          <w:t>25</w:t>
        </w:r>
        <w:r w:rsidR="00562F87" w:rsidRPr="00E962DB">
          <w:rPr>
            <w:noProof/>
            <w:webHidden/>
          </w:rPr>
          <w:fldChar w:fldCharType="end"/>
        </w:r>
      </w:hyperlink>
    </w:p>
    <w:p w14:paraId="2CB234E0" w14:textId="68122823" w:rsidR="00562F87" w:rsidRPr="00E962DB" w:rsidRDefault="006D7998" w:rsidP="007258E7">
      <w:pPr>
        <w:pStyle w:val="TOC2"/>
        <w:rPr>
          <w:rFonts w:ascii="Calibri" w:hAnsi="Calibri"/>
          <w:noProof/>
          <w:lang w:val="en-GB" w:eastAsia="en-GB"/>
        </w:rPr>
      </w:pPr>
      <w:hyperlink w:anchor="_Toc492290987" w:history="1">
        <w:r w:rsidR="00562F87" w:rsidRPr="00E962DB">
          <w:rPr>
            <w:rStyle w:val="Hyperlink"/>
            <w:noProof/>
            <w:lang w:val="en-GB"/>
          </w:rPr>
          <w:t>A.</w:t>
        </w:r>
        <w:r w:rsidR="00562F87" w:rsidRPr="00E962DB">
          <w:rPr>
            <w:rFonts w:ascii="Calibri" w:hAnsi="Calibri"/>
            <w:noProof/>
            <w:lang w:val="en-GB" w:eastAsia="en-GB"/>
          </w:rPr>
          <w:tab/>
        </w:r>
        <w:r w:rsidR="00562F87" w:rsidRPr="00E962DB">
          <w:rPr>
            <w:rStyle w:val="Hyperlink"/>
            <w:noProof/>
            <w:lang w:val="en-GB"/>
          </w:rPr>
          <w:t>Entities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_Toc492290987 \h </w:instrText>
        </w:r>
        <w:r w:rsidR="00562F87" w:rsidRPr="00E962DB">
          <w:rPr>
            <w:noProof/>
            <w:webHidden/>
          </w:rPr>
        </w:r>
        <w:r w:rsidR="00562F87" w:rsidRPr="00E962DB">
          <w:rPr>
            <w:noProof/>
            <w:webHidden/>
          </w:rPr>
          <w:fldChar w:fldCharType="separate"/>
        </w:r>
        <w:r w:rsidR="00E703FE">
          <w:rPr>
            <w:noProof/>
            <w:webHidden/>
          </w:rPr>
          <w:t>26</w:t>
        </w:r>
        <w:r w:rsidR="00562F87" w:rsidRPr="00E962DB">
          <w:rPr>
            <w:noProof/>
            <w:webHidden/>
          </w:rPr>
          <w:fldChar w:fldCharType="end"/>
        </w:r>
      </w:hyperlink>
    </w:p>
    <w:p w14:paraId="4BA3409A" w14:textId="36AB7006" w:rsidR="00562F87" w:rsidRPr="00E962DB" w:rsidRDefault="006D7998" w:rsidP="007258E7">
      <w:pPr>
        <w:pStyle w:val="TOC2"/>
        <w:rPr>
          <w:rFonts w:ascii="Calibri" w:hAnsi="Calibri"/>
          <w:noProof/>
          <w:lang w:val="en-GB" w:eastAsia="en-GB"/>
        </w:rPr>
      </w:pPr>
      <w:hyperlink w:anchor="_Toc492290988" w:history="1">
        <w:r w:rsidR="00562F87" w:rsidRPr="00E962DB">
          <w:rPr>
            <w:rStyle w:val="Hyperlink"/>
            <w:noProof/>
            <w:lang w:val="en-GB"/>
          </w:rPr>
          <w:t>B.</w:t>
        </w:r>
        <w:r w:rsidR="00562F87" w:rsidRPr="00E962DB">
          <w:rPr>
            <w:rFonts w:ascii="Calibri" w:hAnsi="Calibri"/>
            <w:noProof/>
            <w:lang w:val="en-GB" w:eastAsia="en-GB"/>
          </w:rPr>
          <w:tab/>
        </w:r>
        <w:r w:rsidR="00562F87" w:rsidRPr="00E962DB">
          <w:rPr>
            <w:rStyle w:val="Hyperlink"/>
            <w:noProof/>
            <w:lang w:val="en-GB"/>
          </w:rPr>
          <w:t>Trusts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_Toc492290988 \h </w:instrText>
        </w:r>
        <w:r w:rsidR="00562F87" w:rsidRPr="00E962DB">
          <w:rPr>
            <w:noProof/>
            <w:webHidden/>
          </w:rPr>
        </w:r>
        <w:r w:rsidR="00562F87" w:rsidRPr="00E962DB">
          <w:rPr>
            <w:noProof/>
            <w:webHidden/>
          </w:rPr>
          <w:fldChar w:fldCharType="separate"/>
        </w:r>
        <w:r w:rsidR="00E703FE">
          <w:rPr>
            <w:noProof/>
            <w:webHidden/>
          </w:rPr>
          <w:t>27</w:t>
        </w:r>
        <w:r w:rsidR="00562F87" w:rsidRPr="00E962DB">
          <w:rPr>
            <w:noProof/>
            <w:webHidden/>
          </w:rPr>
          <w:fldChar w:fldCharType="end"/>
        </w:r>
      </w:hyperlink>
    </w:p>
    <w:p w14:paraId="50F23BDF" w14:textId="0F1A090B" w:rsidR="00562F87" w:rsidRPr="00E962DB" w:rsidRDefault="006D7998" w:rsidP="007258E7">
      <w:pPr>
        <w:pStyle w:val="TOC2"/>
        <w:rPr>
          <w:rFonts w:ascii="Calibri" w:hAnsi="Calibri"/>
          <w:noProof/>
          <w:lang w:val="en-GB" w:eastAsia="en-GB"/>
        </w:rPr>
      </w:pPr>
      <w:hyperlink w:anchor="_Toc492290989" w:history="1">
        <w:r w:rsidR="00562F87" w:rsidRPr="00E962DB">
          <w:rPr>
            <w:rStyle w:val="Hyperlink"/>
            <w:noProof/>
            <w:lang w:val="en-GB"/>
          </w:rPr>
          <w:t>C.</w:t>
        </w:r>
        <w:r w:rsidR="00562F87" w:rsidRPr="00E962DB">
          <w:rPr>
            <w:rFonts w:ascii="Calibri" w:hAnsi="Calibri"/>
            <w:noProof/>
            <w:lang w:val="en-GB" w:eastAsia="en-GB"/>
          </w:rPr>
          <w:tab/>
        </w:r>
        <w:r w:rsidR="00562F87" w:rsidRPr="00E962DB">
          <w:rPr>
            <w:rStyle w:val="Hyperlink"/>
            <w:noProof/>
            <w:lang w:val="en-GB"/>
          </w:rPr>
          <w:t>Ultimate and Effective Control</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_Toc492290989 \h </w:instrText>
        </w:r>
        <w:r w:rsidR="00562F87" w:rsidRPr="00E962DB">
          <w:rPr>
            <w:noProof/>
            <w:webHidden/>
          </w:rPr>
        </w:r>
        <w:r w:rsidR="00562F87" w:rsidRPr="00E962DB">
          <w:rPr>
            <w:noProof/>
            <w:webHidden/>
          </w:rPr>
          <w:fldChar w:fldCharType="separate"/>
        </w:r>
        <w:r w:rsidR="00E703FE">
          <w:rPr>
            <w:noProof/>
            <w:webHidden/>
          </w:rPr>
          <w:t>29</w:t>
        </w:r>
        <w:r w:rsidR="00562F87" w:rsidRPr="00E962DB">
          <w:rPr>
            <w:noProof/>
            <w:webHidden/>
          </w:rPr>
          <w:fldChar w:fldCharType="end"/>
        </w:r>
      </w:hyperlink>
    </w:p>
    <w:p w14:paraId="77EFB160" w14:textId="4A2B9E27" w:rsidR="00562F87" w:rsidRPr="00E962DB" w:rsidRDefault="006D7998" w:rsidP="002D4BBB">
      <w:pPr>
        <w:pStyle w:val="TOC1"/>
        <w:rPr>
          <w:rFonts w:ascii="Calibri" w:hAnsi="Calibri"/>
          <w:noProof/>
          <w:lang w:val="en-GB" w:eastAsia="en-GB"/>
        </w:rPr>
      </w:pPr>
      <w:hyperlink w:anchor="_Toc492290990" w:history="1">
        <w:r w:rsidR="00562F87" w:rsidRPr="00E962DB">
          <w:rPr>
            <w:rStyle w:val="Hyperlink"/>
            <w:noProof/>
          </w:rPr>
          <w:t>VII.</w:t>
        </w:r>
        <w:r w:rsidR="00562F87" w:rsidRPr="00E962DB">
          <w:rPr>
            <w:rFonts w:ascii="Calibri" w:hAnsi="Calibri"/>
            <w:noProof/>
            <w:lang w:val="en-GB" w:eastAsia="en-GB"/>
          </w:rPr>
          <w:tab/>
        </w:r>
        <w:r w:rsidR="00562F87" w:rsidRPr="00E962DB">
          <w:rPr>
            <w:rStyle w:val="Hyperlink"/>
            <w:noProof/>
          </w:rPr>
          <w:t>ENTITY SPECIFIC ISSUES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_Toc492290990 \h </w:instrText>
        </w:r>
        <w:r w:rsidR="00562F87" w:rsidRPr="00E962DB">
          <w:rPr>
            <w:noProof/>
            <w:webHidden/>
          </w:rPr>
        </w:r>
        <w:r w:rsidR="00562F87" w:rsidRPr="00E962DB">
          <w:rPr>
            <w:noProof/>
            <w:webHidden/>
          </w:rPr>
          <w:fldChar w:fldCharType="separate"/>
        </w:r>
        <w:r w:rsidR="00E703FE">
          <w:rPr>
            <w:noProof/>
            <w:webHidden/>
          </w:rPr>
          <w:t>30</w:t>
        </w:r>
        <w:r w:rsidR="00562F87" w:rsidRPr="00E962DB">
          <w:rPr>
            <w:noProof/>
            <w:webHidden/>
          </w:rPr>
          <w:fldChar w:fldCharType="end"/>
        </w:r>
      </w:hyperlink>
    </w:p>
    <w:p w14:paraId="4174A823" w14:textId="143D3EAF" w:rsidR="00562F87" w:rsidRPr="00E962DB" w:rsidRDefault="006D7998" w:rsidP="007258E7">
      <w:pPr>
        <w:pStyle w:val="TOC2"/>
        <w:rPr>
          <w:rFonts w:ascii="Calibri" w:hAnsi="Calibri"/>
          <w:noProof/>
          <w:lang w:val="en-GB" w:eastAsia="en-GB"/>
        </w:rPr>
      </w:pPr>
      <w:hyperlink w:anchor="_Toc492290991" w:history="1">
        <w:r w:rsidR="00562F87" w:rsidRPr="00E962DB">
          <w:rPr>
            <w:rStyle w:val="Hyperlink"/>
            <w:noProof/>
            <w:lang w:val="en-GB"/>
          </w:rPr>
          <w:t>A.</w:t>
        </w:r>
        <w:r w:rsidR="00562F87" w:rsidRPr="00E962DB">
          <w:rPr>
            <w:rFonts w:ascii="Calibri" w:hAnsi="Calibri"/>
            <w:noProof/>
            <w:lang w:val="en-GB" w:eastAsia="en-GB"/>
          </w:rPr>
          <w:tab/>
        </w:r>
        <w:r w:rsidR="00562F87" w:rsidRPr="00E962DB">
          <w:rPr>
            <w:rStyle w:val="Hyperlink"/>
            <w:noProof/>
            <w:lang w:val="en-GB"/>
          </w:rPr>
          <w:t>Financial Accounts of Investment Managers and Advisers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_Toc492290991 \h </w:instrText>
        </w:r>
        <w:r w:rsidR="00562F87" w:rsidRPr="00E962DB">
          <w:rPr>
            <w:noProof/>
            <w:webHidden/>
          </w:rPr>
        </w:r>
        <w:r w:rsidR="00562F87" w:rsidRPr="00E962DB">
          <w:rPr>
            <w:noProof/>
            <w:webHidden/>
          </w:rPr>
          <w:fldChar w:fldCharType="separate"/>
        </w:r>
        <w:r w:rsidR="00E703FE">
          <w:rPr>
            <w:noProof/>
            <w:webHidden/>
          </w:rPr>
          <w:t>30</w:t>
        </w:r>
        <w:r w:rsidR="00562F87" w:rsidRPr="00E962DB">
          <w:rPr>
            <w:noProof/>
            <w:webHidden/>
          </w:rPr>
          <w:fldChar w:fldCharType="end"/>
        </w:r>
      </w:hyperlink>
    </w:p>
    <w:p w14:paraId="33630EB9" w14:textId="00BF3538" w:rsidR="00562F87" w:rsidRPr="00E962DB" w:rsidRDefault="006D7998" w:rsidP="007258E7">
      <w:pPr>
        <w:pStyle w:val="TOC2"/>
        <w:rPr>
          <w:rFonts w:ascii="Calibri" w:hAnsi="Calibri"/>
          <w:noProof/>
          <w:lang w:val="en-GB" w:eastAsia="en-GB"/>
        </w:rPr>
      </w:pPr>
      <w:hyperlink w:anchor="_Toc492290992" w:history="1">
        <w:r w:rsidR="00562F87" w:rsidRPr="00E962DB">
          <w:rPr>
            <w:rStyle w:val="Hyperlink"/>
            <w:noProof/>
            <w:lang w:val="en-GB"/>
          </w:rPr>
          <w:t>B.</w:t>
        </w:r>
        <w:r w:rsidR="00562F87" w:rsidRPr="00E962DB">
          <w:rPr>
            <w:rFonts w:ascii="Calibri" w:hAnsi="Calibri"/>
            <w:noProof/>
            <w:lang w:val="en-GB" w:eastAsia="en-GB"/>
          </w:rPr>
          <w:tab/>
        </w:r>
        <w:r w:rsidR="00562F87" w:rsidRPr="00E962DB">
          <w:rPr>
            <w:rStyle w:val="Hyperlink"/>
            <w:noProof/>
            <w:lang w:val="en-GB"/>
          </w:rPr>
          <w:t>Non-Participating Jurisdiction Investment Entities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_Toc492290992 \h </w:instrText>
        </w:r>
        <w:r w:rsidR="00562F87" w:rsidRPr="00E962DB">
          <w:rPr>
            <w:noProof/>
            <w:webHidden/>
          </w:rPr>
        </w:r>
        <w:r w:rsidR="00562F87" w:rsidRPr="00E962DB">
          <w:rPr>
            <w:noProof/>
            <w:webHidden/>
          </w:rPr>
          <w:fldChar w:fldCharType="separate"/>
        </w:r>
        <w:r w:rsidR="00E703FE">
          <w:rPr>
            <w:noProof/>
            <w:webHidden/>
          </w:rPr>
          <w:t>31</w:t>
        </w:r>
        <w:r w:rsidR="00562F87" w:rsidRPr="00E962DB">
          <w:rPr>
            <w:noProof/>
            <w:webHidden/>
          </w:rPr>
          <w:fldChar w:fldCharType="end"/>
        </w:r>
      </w:hyperlink>
    </w:p>
    <w:p w14:paraId="7A389809" w14:textId="049054CC" w:rsidR="00562F87" w:rsidRPr="00E962DB" w:rsidRDefault="006D7998" w:rsidP="007258E7">
      <w:pPr>
        <w:pStyle w:val="TOC2"/>
        <w:rPr>
          <w:rFonts w:ascii="Calibri" w:hAnsi="Calibri"/>
          <w:noProof/>
          <w:lang w:val="en-GB" w:eastAsia="en-GB"/>
        </w:rPr>
      </w:pPr>
      <w:hyperlink w:anchor="_Toc492290993" w:history="1">
        <w:r w:rsidR="00562F87" w:rsidRPr="00E962DB">
          <w:rPr>
            <w:rStyle w:val="Hyperlink"/>
            <w:noProof/>
            <w:lang w:val="en-GB"/>
          </w:rPr>
          <w:t>C.</w:t>
        </w:r>
        <w:r w:rsidR="00562F87" w:rsidRPr="00E962DB">
          <w:rPr>
            <w:rFonts w:ascii="Calibri" w:hAnsi="Calibri"/>
            <w:noProof/>
            <w:lang w:val="en-GB" w:eastAsia="en-GB"/>
          </w:rPr>
          <w:tab/>
        </w:r>
        <w:r w:rsidR="00562F87" w:rsidRPr="00E962DB">
          <w:rPr>
            <w:rStyle w:val="Hyperlink"/>
            <w:noProof/>
            <w:lang w:val="en-GB"/>
          </w:rPr>
          <w:t>Determination of CRS Status of Entities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_Toc492290993 \h </w:instrText>
        </w:r>
        <w:r w:rsidR="00562F87" w:rsidRPr="00E962DB">
          <w:rPr>
            <w:noProof/>
            <w:webHidden/>
          </w:rPr>
        </w:r>
        <w:r w:rsidR="00562F87" w:rsidRPr="00E962DB">
          <w:rPr>
            <w:noProof/>
            <w:webHidden/>
          </w:rPr>
          <w:fldChar w:fldCharType="separate"/>
        </w:r>
        <w:r w:rsidR="00E703FE">
          <w:rPr>
            <w:noProof/>
            <w:webHidden/>
          </w:rPr>
          <w:t>31</w:t>
        </w:r>
        <w:r w:rsidR="00562F87" w:rsidRPr="00E962DB">
          <w:rPr>
            <w:noProof/>
            <w:webHidden/>
          </w:rPr>
          <w:fldChar w:fldCharType="end"/>
        </w:r>
      </w:hyperlink>
    </w:p>
    <w:p w14:paraId="682D8063" w14:textId="3FF48E30" w:rsidR="00562F87" w:rsidRPr="00E962DB" w:rsidRDefault="006D7998" w:rsidP="007258E7">
      <w:pPr>
        <w:pStyle w:val="TOC2"/>
        <w:rPr>
          <w:rFonts w:ascii="Calibri" w:hAnsi="Calibri"/>
          <w:noProof/>
          <w:lang w:val="en-GB" w:eastAsia="en-GB"/>
        </w:rPr>
      </w:pPr>
      <w:hyperlink w:anchor="_Toc492290994" w:history="1">
        <w:r w:rsidR="00562F87" w:rsidRPr="00E962DB">
          <w:rPr>
            <w:rStyle w:val="Hyperlink"/>
            <w:noProof/>
            <w:lang w:val="en-GB"/>
          </w:rPr>
          <w:t>D.</w:t>
        </w:r>
        <w:r w:rsidR="00562F87" w:rsidRPr="00E962DB">
          <w:rPr>
            <w:rFonts w:ascii="Calibri" w:hAnsi="Calibri"/>
            <w:noProof/>
            <w:lang w:val="en-GB" w:eastAsia="en-GB"/>
          </w:rPr>
          <w:tab/>
        </w:r>
        <w:r w:rsidR="00562F87" w:rsidRPr="00E962DB">
          <w:rPr>
            <w:rStyle w:val="Hyperlink"/>
            <w:noProof/>
            <w:lang w:val="en-GB"/>
          </w:rPr>
          <w:t>Investment Entity</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_Toc492290994 \h </w:instrText>
        </w:r>
        <w:r w:rsidR="00562F87" w:rsidRPr="00E962DB">
          <w:rPr>
            <w:noProof/>
            <w:webHidden/>
          </w:rPr>
        </w:r>
        <w:r w:rsidR="00562F87" w:rsidRPr="00E962DB">
          <w:rPr>
            <w:noProof/>
            <w:webHidden/>
          </w:rPr>
          <w:fldChar w:fldCharType="separate"/>
        </w:r>
        <w:r w:rsidR="00E703FE">
          <w:rPr>
            <w:noProof/>
            <w:webHidden/>
          </w:rPr>
          <w:t>32</w:t>
        </w:r>
        <w:r w:rsidR="00562F87" w:rsidRPr="00E962DB">
          <w:rPr>
            <w:noProof/>
            <w:webHidden/>
          </w:rPr>
          <w:fldChar w:fldCharType="end"/>
        </w:r>
      </w:hyperlink>
    </w:p>
    <w:p w14:paraId="34A33E31" w14:textId="6AB0FA50" w:rsidR="00562F87" w:rsidRPr="00E962DB" w:rsidRDefault="006D7998" w:rsidP="007258E7">
      <w:pPr>
        <w:pStyle w:val="TOC2"/>
        <w:rPr>
          <w:rFonts w:ascii="Calibri" w:hAnsi="Calibri"/>
          <w:noProof/>
          <w:lang w:val="en-GB" w:eastAsia="en-GB"/>
        </w:rPr>
      </w:pPr>
      <w:hyperlink w:anchor="_Toc492290995" w:history="1">
        <w:r w:rsidR="00562F87" w:rsidRPr="00E962DB">
          <w:rPr>
            <w:rStyle w:val="Hyperlink"/>
            <w:noProof/>
          </w:rPr>
          <w:t>E.</w:t>
        </w:r>
        <w:r w:rsidR="00562F87" w:rsidRPr="00E962DB">
          <w:rPr>
            <w:rFonts w:ascii="Calibri" w:hAnsi="Calibri"/>
            <w:noProof/>
            <w:lang w:val="en-GB" w:eastAsia="en-GB"/>
          </w:rPr>
          <w:tab/>
        </w:r>
        <w:r w:rsidR="00562F87" w:rsidRPr="00E962DB">
          <w:rPr>
            <w:rStyle w:val="Hyperlink"/>
            <w:noProof/>
          </w:rPr>
          <w:t>Applying the “Managed By Test”</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_Toc492290995 \h </w:instrText>
        </w:r>
        <w:r w:rsidR="00562F87" w:rsidRPr="00E962DB">
          <w:rPr>
            <w:noProof/>
            <w:webHidden/>
          </w:rPr>
        </w:r>
        <w:r w:rsidR="00562F87" w:rsidRPr="00E962DB">
          <w:rPr>
            <w:noProof/>
            <w:webHidden/>
          </w:rPr>
          <w:fldChar w:fldCharType="separate"/>
        </w:r>
        <w:r w:rsidR="00E703FE">
          <w:rPr>
            <w:noProof/>
            <w:webHidden/>
          </w:rPr>
          <w:t>33</w:t>
        </w:r>
        <w:r w:rsidR="00562F87" w:rsidRPr="00E962DB">
          <w:rPr>
            <w:noProof/>
            <w:webHidden/>
          </w:rPr>
          <w:fldChar w:fldCharType="end"/>
        </w:r>
      </w:hyperlink>
    </w:p>
    <w:p w14:paraId="7595AAAD" w14:textId="4233B8A6" w:rsidR="00562F87" w:rsidRPr="00E962DB" w:rsidRDefault="006D7998" w:rsidP="007258E7">
      <w:pPr>
        <w:pStyle w:val="TOC2"/>
        <w:rPr>
          <w:rFonts w:ascii="Calibri" w:hAnsi="Calibri"/>
          <w:noProof/>
          <w:lang w:val="en-GB" w:eastAsia="en-GB"/>
        </w:rPr>
      </w:pPr>
      <w:hyperlink w:anchor="_Toc492290996" w:history="1">
        <w:r w:rsidR="00562F87" w:rsidRPr="00E962DB">
          <w:rPr>
            <w:rStyle w:val="Hyperlink"/>
            <w:noProof/>
          </w:rPr>
          <w:t>F.</w:t>
        </w:r>
        <w:r w:rsidR="00562F87" w:rsidRPr="00E962DB">
          <w:rPr>
            <w:rFonts w:ascii="Calibri" w:hAnsi="Calibri"/>
            <w:noProof/>
            <w:lang w:val="en-GB" w:eastAsia="en-GB"/>
          </w:rPr>
          <w:tab/>
        </w:r>
        <w:r w:rsidR="00562F87" w:rsidRPr="00E962DB">
          <w:rPr>
            <w:rStyle w:val="Hyperlink"/>
            <w:noProof/>
            <w:spacing w:val="-2"/>
          </w:rPr>
          <w:t>Financial Institution Acting as Broker</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_Toc492290996 \h </w:instrText>
        </w:r>
        <w:r w:rsidR="00562F87" w:rsidRPr="00E962DB">
          <w:rPr>
            <w:noProof/>
            <w:webHidden/>
          </w:rPr>
        </w:r>
        <w:r w:rsidR="00562F87" w:rsidRPr="00E962DB">
          <w:rPr>
            <w:noProof/>
            <w:webHidden/>
          </w:rPr>
          <w:fldChar w:fldCharType="separate"/>
        </w:r>
        <w:r w:rsidR="00E703FE">
          <w:rPr>
            <w:noProof/>
            <w:webHidden/>
          </w:rPr>
          <w:t>35</w:t>
        </w:r>
        <w:r w:rsidR="00562F87" w:rsidRPr="00E962DB">
          <w:rPr>
            <w:noProof/>
            <w:webHidden/>
          </w:rPr>
          <w:fldChar w:fldCharType="end"/>
        </w:r>
      </w:hyperlink>
    </w:p>
    <w:p w14:paraId="09C196A1" w14:textId="569938D5" w:rsidR="00562F87" w:rsidRPr="00E962DB" w:rsidRDefault="006D7998" w:rsidP="007258E7">
      <w:pPr>
        <w:pStyle w:val="TOC2"/>
        <w:rPr>
          <w:rFonts w:ascii="Calibri" w:hAnsi="Calibri"/>
          <w:noProof/>
          <w:lang w:val="en-GB" w:eastAsia="en-GB"/>
        </w:rPr>
      </w:pPr>
      <w:hyperlink w:anchor="_Toc492290997" w:history="1">
        <w:r w:rsidR="00562F87" w:rsidRPr="00E962DB">
          <w:rPr>
            <w:rStyle w:val="Hyperlink"/>
            <w:noProof/>
          </w:rPr>
          <w:t>G.</w:t>
        </w:r>
        <w:r w:rsidR="00562F87" w:rsidRPr="00E962DB">
          <w:rPr>
            <w:rFonts w:ascii="Calibri" w:hAnsi="Calibri"/>
            <w:noProof/>
            <w:lang w:val="en-GB" w:eastAsia="en-GB"/>
          </w:rPr>
          <w:tab/>
        </w:r>
        <w:r w:rsidR="00562F87" w:rsidRPr="00E962DB">
          <w:rPr>
            <w:rStyle w:val="Hyperlink"/>
            <w:noProof/>
          </w:rPr>
          <w:t>Charitable Trusts</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_Toc492290997 \h </w:instrText>
        </w:r>
        <w:r w:rsidR="00562F87" w:rsidRPr="00E962DB">
          <w:rPr>
            <w:noProof/>
            <w:webHidden/>
          </w:rPr>
        </w:r>
        <w:r w:rsidR="00562F87" w:rsidRPr="00E962DB">
          <w:rPr>
            <w:noProof/>
            <w:webHidden/>
          </w:rPr>
          <w:fldChar w:fldCharType="separate"/>
        </w:r>
        <w:r w:rsidR="00E703FE">
          <w:rPr>
            <w:noProof/>
            <w:webHidden/>
          </w:rPr>
          <w:t>35</w:t>
        </w:r>
        <w:r w:rsidR="00562F87" w:rsidRPr="00E962DB">
          <w:rPr>
            <w:noProof/>
            <w:webHidden/>
          </w:rPr>
          <w:fldChar w:fldCharType="end"/>
        </w:r>
      </w:hyperlink>
    </w:p>
    <w:p w14:paraId="62BC41A1" w14:textId="203EC456" w:rsidR="00562F87" w:rsidRPr="00E962DB" w:rsidRDefault="006D7998" w:rsidP="002D4BBB">
      <w:pPr>
        <w:pStyle w:val="TOC1"/>
        <w:rPr>
          <w:rFonts w:ascii="Calibri" w:hAnsi="Calibri"/>
          <w:noProof/>
          <w:lang w:val="en-GB" w:eastAsia="en-GB"/>
        </w:rPr>
      </w:pPr>
      <w:hyperlink w:anchor="_Toc492290998" w:history="1">
        <w:r w:rsidR="00562F87" w:rsidRPr="00E962DB">
          <w:rPr>
            <w:rStyle w:val="Hyperlink"/>
            <w:noProof/>
          </w:rPr>
          <w:t>VIII.</w:t>
        </w:r>
        <w:r w:rsidR="00562F87" w:rsidRPr="00E962DB">
          <w:rPr>
            <w:rFonts w:ascii="Calibri" w:hAnsi="Calibri"/>
            <w:noProof/>
            <w:lang w:val="en-GB" w:eastAsia="en-GB"/>
          </w:rPr>
          <w:tab/>
        </w:r>
        <w:r w:rsidR="00562F87" w:rsidRPr="00E962DB">
          <w:rPr>
            <w:rStyle w:val="Hyperlink"/>
            <w:noProof/>
          </w:rPr>
          <w:t>ANTI-AVOIDANCE &amp; ENFORCEMENT</w:t>
        </w:r>
        <w:r w:rsidR="00562F87" w:rsidRPr="00E962DB">
          <w:rPr>
            <w:noProof/>
            <w:webHidden/>
          </w:rPr>
          <w:tab/>
        </w:r>
        <w:r w:rsidR="00562F87" w:rsidRPr="00E962DB">
          <w:rPr>
            <w:noProof/>
            <w:webHidden/>
          </w:rPr>
          <w:fldChar w:fldCharType="begin"/>
        </w:r>
        <w:r w:rsidR="00562F87" w:rsidRPr="00E962DB">
          <w:rPr>
            <w:noProof/>
            <w:webHidden/>
          </w:rPr>
          <w:instrText xml:space="preserve"> PAGEREF _Toc492290998 \h </w:instrText>
        </w:r>
        <w:r w:rsidR="00562F87" w:rsidRPr="00E962DB">
          <w:rPr>
            <w:noProof/>
            <w:webHidden/>
          </w:rPr>
        </w:r>
        <w:r w:rsidR="00562F87" w:rsidRPr="00E962DB">
          <w:rPr>
            <w:noProof/>
            <w:webHidden/>
          </w:rPr>
          <w:fldChar w:fldCharType="separate"/>
        </w:r>
        <w:r w:rsidR="00E703FE">
          <w:rPr>
            <w:noProof/>
            <w:webHidden/>
          </w:rPr>
          <w:t>37</w:t>
        </w:r>
        <w:r w:rsidR="00562F87" w:rsidRPr="00E962DB">
          <w:rPr>
            <w:noProof/>
            <w:webHidden/>
          </w:rPr>
          <w:fldChar w:fldCharType="end"/>
        </w:r>
      </w:hyperlink>
    </w:p>
    <w:p w14:paraId="6B2E9E98" w14:textId="77777777" w:rsidR="00562F87" w:rsidRPr="00E962DB" w:rsidRDefault="00562F87">
      <w:pPr>
        <w:rPr>
          <w:rFonts w:ascii="Arial" w:hAnsi="Arial" w:cs="Arial"/>
        </w:rPr>
      </w:pPr>
      <w:r w:rsidRPr="00E962DB">
        <w:rPr>
          <w:rFonts w:ascii="Arial" w:hAnsi="Arial" w:cs="Arial"/>
        </w:rPr>
        <w:fldChar w:fldCharType="end"/>
      </w:r>
    </w:p>
    <w:p w14:paraId="768716A4" w14:textId="77777777" w:rsidR="00562F87" w:rsidRPr="00E962DB" w:rsidRDefault="00562F87" w:rsidP="00A057DD">
      <w:pPr>
        <w:spacing w:line="360" w:lineRule="auto"/>
        <w:rPr>
          <w:rFonts w:ascii="Arial" w:hAnsi="Arial" w:cs="Arial"/>
          <w:lang w:val="en-GB"/>
        </w:rPr>
      </w:pPr>
    </w:p>
    <w:p w14:paraId="377C814C" w14:textId="77777777" w:rsidR="00562F87" w:rsidRPr="00E962DB" w:rsidRDefault="00562F87" w:rsidP="005D0659">
      <w:pPr>
        <w:pStyle w:val="Heading1"/>
        <w:numPr>
          <w:ilvl w:val="0"/>
          <w:numId w:val="24"/>
        </w:numPr>
        <w:ind w:left="0" w:firstLine="0"/>
        <w:jc w:val="center"/>
        <w:rPr>
          <w:lang w:val="en-GB"/>
        </w:rPr>
        <w:sectPr w:rsidR="00562F87" w:rsidRPr="00E962DB" w:rsidSect="00AA3D62">
          <w:headerReference w:type="even" r:id="rId8"/>
          <w:headerReference w:type="default" r:id="rId9"/>
          <w:footerReference w:type="even" r:id="rId10"/>
          <w:footerReference w:type="default" r:id="rId11"/>
          <w:headerReference w:type="first" r:id="rId12"/>
          <w:footerReference w:type="first" r:id="rId13"/>
          <w:pgSz w:w="12240" w:h="15840"/>
          <w:pgMar w:top="740" w:right="900" w:bottom="922" w:left="1406" w:header="720" w:footer="720" w:gutter="0"/>
          <w:pgNumType w:fmt="lowerRoman" w:start="1"/>
          <w:cols w:space="720"/>
          <w:titlePg/>
          <w:docGrid w:linePitch="299"/>
        </w:sectPr>
      </w:pPr>
    </w:p>
    <w:p w14:paraId="3E7913DB" w14:textId="77777777" w:rsidR="00562F87" w:rsidRPr="00E962DB" w:rsidRDefault="00562F87" w:rsidP="005D0659">
      <w:pPr>
        <w:pStyle w:val="Heading1"/>
        <w:numPr>
          <w:ilvl w:val="0"/>
          <w:numId w:val="24"/>
        </w:numPr>
        <w:ind w:left="0" w:firstLine="0"/>
        <w:jc w:val="center"/>
        <w:rPr>
          <w:lang w:val="en-GB"/>
        </w:rPr>
      </w:pPr>
      <w:r w:rsidRPr="00E962DB">
        <w:rPr>
          <w:lang w:val="en-GB"/>
        </w:rPr>
        <w:br w:type="page"/>
      </w:r>
      <w:bookmarkStart w:id="1" w:name="_Toc486254101"/>
      <w:bookmarkStart w:id="2" w:name="_Toc492290956"/>
      <w:r w:rsidRPr="00E962DB">
        <w:rPr>
          <w:lang w:val="en-GB"/>
        </w:rPr>
        <w:t>OVERVIEW</w:t>
      </w:r>
      <w:bookmarkEnd w:id="1"/>
      <w:bookmarkEnd w:id="2"/>
    </w:p>
    <w:p w14:paraId="45FB8AD4" w14:textId="77777777" w:rsidR="00562F87" w:rsidRPr="00E962DB" w:rsidRDefault="00562F87" w:rsidP="00EF6A40">
      <w:pPr>
        <w:pStyle w:val="Heading2"/>
        <w:numPr>
          <w:ilvl w:val="0"/>
          <w:numId w:val="22"/>
        </w:numPr>
        <w:rPr>
          <w:lang w:val="en-GB"/>
        </w:rPr>
      </w:pPr>
      <w:bookmarkStart w:id="3" w:name="_Toc486250835"/>
      <w:bookmarkStart w:id="4" w:name="_Toc492290957"/>
      <w:r w:rsidRPr="00E962DB">
        <w:rPr>
          <w:lang w:val="en-GB"/>
        </w:rPr>
        <w:t>Abbreviations and Acronyms</w:t>
      </w:r>
      <w:bookmarkEnd w:id="3"/>
      <w:bookmarkEnd w:id="4"/>
    </w:p>
    <w:p w14:paraId="5E09D1C9" w14:textId="77777777" w:rsidR="00562F87" w:rsidRPr="00E962DB" w:rsidRDefault="00562F87" w:rsidP="00A057DD">
      <w:pPr>
        <w:autoSpaceDE w:val="0"/>
        <w:autoSpaceDN w:val="0"/>
        <w:adjustRightInd w:val="0"/>
        <w:spacing w:line="360" w:lineRule="auto"/>
        <w:rPr>
          <w:rFonts w:ascii="Arial" w:hAnsi="Arial" w:cs="Arial"/>
          <w:sz w:val="24"/>
          <w:szCs w:val="24"/>
          <w:lang w:val="en-GB"/>
        </w:rPr>
      </w:pPr>
      <w:r w:rsidRPr="00E962DB">
        <w:rPr>
          <w:rFonts w:ascii="Arial" w:hAnsi="Arial" w:cs="Arial"/>
          <w:b/>
          <w:bCs/>
          <w:sz w:val="24"/>
          <w:szCs w:val="24"/>
          <w:lang w:val="en-GB"/>
        </w:rPr>
        <w:t>AEOI</w:t>
      </w:r>
      <w:r w:rsidRPr="00E962DB">
        <w:rPr>
          <w:rFonts w:ascii="Arial" w:hAnsi="Arial" w:cs="Arial"/>
          <w:b/>
          <w:bCs/>
          <w:sz w:val="24"/>
          <w:szCs w:val="24"/>
          <w:lang w:val="en-GB"/>
        </w:rPr>
        <w:tab/>
      </w:r>
      <w:r w:rsidRPr="00E962DB">
        <w:rPr>
          <w:rFonts w:ascii="Arial" w:hAnsi="Arial" w:cs="Arial"/>
          <w:b/>
          <w:bCs/>
          <w:sz w:val="24"/>
          <w:szCs w:val="24"/>
          <w:lang w:val="en-GB"/>
        </w:rPr>
        <w:tab/>
      </w:r>
      <w:r w:rsidRPr="00E962DB">
        <w:rPr>
          <w:rFonts w:ascii="Arial" w:hAnsi="Arial" w:cs="Arial"/>
          <w:sz w:val="24"/>
          <w:szCs w:val="24"/>
          <w:lang w:val="en-GB"/>
        </w:rPr>
        <w:t>Automatic Exchange of Information</w:t>
      </w:r>
    </w:p>
    <w:p w14:paraId="39C20601" w14:textId="77777777" w:rsidR="00562F87" w:rsidRPr="00E962DB" w:rsidRDefault="00562F87" w:rsidP="00EA79E4">
      <w:pPr>
        <w:autoSpaceDE w:val="0"/>
        <w:autoSpaceDN w:val="0"/>
        <w:adjustRightInd w:val="0"/>
        <w:spacing w:line="360" w:lineRule="auto"/>
        <w:rPr>
          <w:rFonts w:ascii="Arial" w:hAnsi="Arial" w:cs="Arial"/>
          <w:sz w:val="24"/>
          <w:szCs w:val="24"/>
          <w:lang w:val="en-GB"/>
        </w:rPr>
      </w:pPr>
      <w:r w:rsidRPr="00E962DB">
        <w:rPr>
          <w:rFonts w:ascii="Arial" w:hAnsi="Arial"/>
          <w:b/>
          <w:color w:val="000000"/>
          <w:spacing w:val="-1"/>
          <w:sz w:val="24"/>
        </w:rPr>
        <w:t>BCAA</w:t>
      </w:r>
      <w:r w:rsidRPr="00E962DB">
        <w:rPr>
          <w:rFonts w:ascii="Arial" w:hAnsi="Arial"/>
          <w:b/>
          <w:color w:val="000000"/>
          <w:spacing w:val="-1"/>
          <w:sz w:val="24"/>
        </w:rPr>
        <w:tab/>
      </w:r>
      <w:r w:rsidRPr="00E962DB">
        <w:rPr>
          <w:rFonts w:ascii="Arial" w:hAnsi="Arial"/>
          <w:b/>
          <w:color w:val="000000"/>
          <w:spacing w:val="-1"/>
          <w:sz w:val="24"/>
        </w:rPr>
        <w:tab/>
      </w:r>
      <w:r w:rsidRPr="00E962DB">
        <w:rPr>
          <w:rFonts w:ascii="Arial" w:hAnsi="Arial"/>
          <w:color w:val="000000"/>
          <w:spacing w:val="-1"/>
          <w:sz w:val="24"/>
        </w:rPr>
        <w:t>Bilateral Competent Authority Agreement</w:t>
      </w:r>
    </w:p>
    <w:p w14:paraId="636D231C" w14:textId="77777777" w:rsidR="00562F87" w:rsidRPr="00E962DB" w:rsidRDefault="00562F87" w:rsidP="00A057DD">
      <w:pPr>
        <w:autoSpaceDE w:val="0"/>
        <w:autoSpaceDN w:val="0"/>
        <w:adjustRightInd w:val="0"/>
        <w:spacing w:line="360" w:lineRule="auto"/>
        <w:rPr>
          <w:rFonts w:ascii="Arial" w:hAnsi="Arial" w:cs="Arial"/>
          <w:sz w:val="24"/>
          <w:szCs w:val="24"/>
          <w:lang w:val="en-GB"/>
        </w:rPr>
      </w:pPr>
      <w:r w:rsidRPr="00E962DB">
        <w:rPr>
          <w:rFonts w:ascii="Arial" w:hAnsi="Arial" w:cs="Arial"/>
          <w:b/>
          <w:bCs/>
          <w:sz w:val="24"/>
          <w:szCs w:val="24"/>
          <w:lang w:val="en-GB"/>
        </w:rPr>
        <w:t>CRS</w:t>
      </w:r>
      <w:r w:rsidRPr="00E962DB">
        <w:rPr>
          <w:rFonts w:ascii="Arial" w:hAnsi="Arial" w:cs="Arial"/>
          <w:b/>
          <w:bCs/>
          <w:sz w:val="24"/>
          <w:szCs w:val="24"/>
          <w:lang w:val="en-GB"/>
        </w:rPr>
        <w:tab/>
      </w:r>
      <w:r w:rsidRPr="00E962DB">
        <w:rPr>
          <w:rFonts w:ascii="Arial" w:hAnsi="Arial" w:cs="Arial"/>
          <w:b/>
          <w:bCs/>
          <w:sz w:val="24"/>
          <w:szCs w:val="24"/>
          <w:lang w:val="en-GB"/>
        </w:rPr>
        <w:tab/>
      </w:r>
      <w:r w:rsidRPr="00E962DB">
        <w:rPr>
          <w:rFonts w:ascii="Arial" w:hAnsi="Arial" w:cs="Arial"/>
          <w:sz w:val="24"/>
          <w:szCs w:val="24"/>
          <w:lang w:val="en-GB"/>
        </w:rPr>
        <w:t>Common Reporting Standard</w:t>
      </w:r>
    </w:p>
    <w:p w14:paraId="6CE8E5B3" w14:textId="77777777" w:rsidR="00562F87" w:rsidRPr="00E962DB" w:rsidRDefault="00562F87" w:rsidP="00152CF5">
      <w:pPr>
        <w:autoSpaceDE w:val="0"/>
        <w:autoSpaceDN w:val="0"/>
        <w:adjustRightInd w:val="0"/>
        <w:spacing w:line="360" w:lineRule="auto"/>
        <w:rPr>
          <w:rFonts w:ascii="Arial" w:hAnsi="Arial" w:cs="Arial"/>
          <w:bCs/>
          <w:sz w:val="24"/>
          <w:szCs w:val="24"/>
        </w:rPr>
      </w:pPr>
      <w:r w:rsidRPr="00E962DB">
        <w:rPr>
          <w:rFonts w:ascii="Arial" w:hAnsi="Arial" w:cs="Arial"/>
          <w:b/>
          <w:bCs/>
          <w:sz w:val="24"/>
          <w:szCs w:val="24"/>
        </w:rPr>
        <w:t>FATF</w:t>
      </w:r>
      <w:r w:rsidRPr="00E962DB">
        <w:rPr>
          <w:rFonts w:ascii="Arial" w:hAnsi="Arial" w:cs="Arial"/>
          <w:b/>
          <w:bCs/>
          <w:sz w:val="24"/>
          <w:szCs w:val="24"/>
        </w:rPr>
        <w:tab/>
      </w:r>
      <w:r w:rsidRPr="00E962DB">
        <w:rPr>
          <w:rFonts w:ascii="Arial" w:hAnsi="Arial" w:cs="Arial"/>
          <w:b/>
          <w:bCs/>
          <w:sz w:val="24"/>
          <w:szCs w:val="24"/>
        </w:rPr>
        <w:tab/>
      </w:r>
      <w:r w:rsidRPr="00E962DB">
        <w:rPr>
          <w:rFonts w:ascii="Arial" w:hAnsi="Arial" w:cs="Arial"/>
          <w:bCs/>
          <w:sz w:val="24"/>
          <w:szCs w:val="24"/>
        </w:rPr>
        <w:t>Financial Action Task Force</w:t>
      </w:r>
    </w:p>
    <w:p w14:paraId="3DC0FFE2" w14:textId="77777777" w:rsidR="00562F87" w:rsidRPr="00E962DB" w:rsidRDefault="00562F87" w:rsidP="00A057DD">
      <w:pPr>
        <w:autoSpaceDE w:val="0"/>
        <w:autoSpaceDN w:val="0"/>
        <w:adjustRightInd w:val="0"/>
        <w:spacing w:line="360" w:lineRule="auto"/>
        <w:rPr>
          <w:rFonts w:ascii="Arial" w:hAnsi="Arial" w:cs="Arial"/>
          <w:sz w:val="24"/>
          <w:szCs w:val="24"/>
          <w:lang w:val="en-GB"/>
        </w:rPr>
      </w:pPr>
      <w:r w:rsidRPr="00E962DB">
        <w:rPr>
          <w:rFonts w:ascii="Arial" w:hAnsi="Arial" w:cs="Arial"/>
          <w:b/>
          <w:bCs/>
          <w:sz w:val="24"/>
          <w:szCs w:val="24"/>
          <w:lang w:val="en-GB"/>
        </w:rPr>
        <w:t xml:space="preserve">FATCA </w:t>
      </w:r>
      <w:r w:rsidRPr="00E962DB">
        <w:rPr>
          <w:rFonts w:ascii="Arial" w:hAnsi="Arial" w:cs="Arial"/>
          <w:b/>
          <w:bCs/>
          <w:sz w:val="24"/>
          <w:szCs w:val="24"/>
          <w:lang w:val="en-GB"/>
        </w:rPr>
        <w:tab/>
      </w:r>
      <w:r w:rsidRPr="00E962DB">
        <w:rPr>
          <w:rFonts w:ascii="Arial" w:hAnsi="Arial" w:cs="Arial"/>
          <w:sz w:val="24"/>
          <w:szCs w:val="24"/>
          <w:lang w:val="en-GB"/>
        </w:rPr>
        <w:t>Foreign Account Tax Compliance Act</w:t>
      </w:r>
    </w:p>
    <w:p w14:paraId="302564AF" w14:textId="77777777" w:rsidR="00562F87" w:rsidRPr="00E962DB" w:rsidRDefault="00562F87" w:rsidP="00A057DD">
      <w:pPr>
        <w:autoSpaceDE w:val="0"/>
        <w:autoSpaceDN w:val="0"/>
        <w:adjustRightInd w:val="0"/>
        <w:spacing w:line="360" w:lineRule="auto"/>
        <w:rPr>
          <w:rFonts w:ascii="Arial" w:hAnsi="Arial" w:cs="Arial"/>
          <w:bCs/>
          <w:sz w:val="24"/>
          <w:szCs w:val="24"/>
          <w:lang w:val="en-GB"/>
        </w:rPr>
      </w:pPr>
      <w:r w:rsidRPr="00E962DB">
        <w:rPr>
          <w:rFonts w:ascii="Arial" w:hAnsi="Arial" w:cs="Arial"/>
          <w:b/>
          <w:bCs/>
          <w:sz w:val="24"/>
          <w:szCs w:val="24"/>
          <w:lang w:val="en-GB"/>
        </w:rPr>
        <w:t>FCSP</w:t>
      </w:r>
      <w:r w:rsidRPr="00E962DB">
        <w:rPr>
          <w:rFonts w:ascii="Arial" w:hAnsi="Arial" w:cs="Arial"/>
          <w:b/>
          <w:bCs/>
          <w:sz w:val="24"/>
          <w:szCs w:val="24"/>
          <w:lang w:val="en-GB"/>
        </w:rPr>
        <w:tab/>
      </w:r>
      <w:r w:rsidRPr="00E962DB">
        <w:rPr>
          <w:rFonts w:ascii="Arial" w:hAnsi="Arial" w:cs="Arial"/>
          <w:b/>
          <w:bCs/>
          <w:sz w:val="24"/>
          <w:szCs w:val="24"/>
          <w:lang w:val="en-GB"/>
        </w:rPr>
        <w:tab/>
      </w:r>
      <w:r w:rsidRPr="00E962DB">
        <w:rPr>
          <w:rFonts w:ascii="Arial" w:hAnsi="Arial" w:cs="Arial"/>
          <w:bCs/>
          <w:sz w:val="24"/>
          <w:szCs w:val="24"/>
          <w:lang w:val="en-GB"/>
        </w:rPr>
        <w:t>Financial and Corporate Service Provider</w:t>
      </w:r>
    </w:p>
    <w:p w14:paraId="2594506A" w14:textId="77777777" w:rsidR="00562F87" w:rsidRPr="00E962DB" w:rsidRDefault="00562F87" w:rsidP="00A057DD">
      <w:pPr>
        <w:autoSpaceDE w:val="0"/>
        <w:autoSpaceDN w:val="0"/>
        <w:adjustRightInd w:val="0"/>
        <w:spacing w:line="360" w:lineRule="auto"/>
        <w:rPr>
          <w:rFonts w:ascii="Arial" w:hAnsi="Arial" w:cs="Arial"/>
          <w:sz w:val="24"/>
          <w:szCs w:val="24"/>
          <w:lang w:val="en-GB"/>
        </w:rPr>
      </w:pPr>
      <w:r w:rsidRPr="00E962DB">
        <w:rPr>
          <w:rFonts w:ascii="Arial" w:hAnsi="Arial" w:cs="Arial"/>
          <w:b/>
          <w:bCs/>
          <w:sz w:val="24"/>
          <w:szCs w:val="24"/>
          <w:lang w:val="en-GB"/>
        </w:rPr>
        <w:t xml:space="preserve">FI </w:t>
      </w:r>
      <w:r w:rsidRPr="00E962DB">
        <w:rPr>
          <w:rFonts w:ascii="Arial" w:hAnsi="Arial" w:cs="Arial"/>
          <w:b/>
          <w:bCs/>
          <w:sz w:val="24"/>
          <w:szCs w:val="24"/>
          <w:lang w:val="en-GB"/>
        </w:rPr>
        <w:tab/>
      </w:r>
      <w:r w:rsidRPr="00E962DB">
        <w:rPr>
          <w:rFonts w:ascii="Arial" w:hAnsi="Arial" w:cs="Arial"/>
          <w:b/>
          <w:bCs/>
          <w:sz w:val="24"/>
          <w:szCs w:val="24"/>
          <w:lang w:val="en-GB"/>
        </w:rPr>
        <w:tab/>
      </w:r>
      <w:r w:rsidRPr="00E962DB">
        <w:rPr>
          <w:rFonts w:ascii="Arial" w:hAnsi="Arial" w:cs="Arial"/>
          <w:sz w:val="24"/>
          <w:szCs w:val="24"/>
          <w:lang w:val="en-GB"/>
        </w:rPr>
        <w:t>Financial Institution</w:t>
      </w:r>
    </w:p>
    <w:p w14:paraId="45DDA6E2" w14:textId="77777777" w:rsidR="00562F87" w:rsidRPr="00E962DB" w:rsidRDefault="00562F87" w:rsidP="00A057DD">
      <w:pPr>
        <w:autoSpaceDE w:val="0"/>
        <w:autoSpaceDN w:val="0"/>
        <w:adjustRightInd w:val="0"/>
        <w:spacing w:line="360" w:lineRule="auto"/>
        <w:rPr>
          <w:rFonts w:ascii="Arial" w:hAnsi="Arial" w:cs="Arial"/>
          <w:sz w:val="24"/>
          <w:szCs w:val="24"/>
          <w:lang w:val="en-GB"/>
        </w:rPr>
      </w:pPr>
      <w:r w:rsidRPr="00E962DB">
        <w:rPr>
          <w:rFonts w:ascii="Arial" w:hAnsi="Arial" w:cs="Arial"/>
          <w:b/>
          <w:bCs/>
          <w:sz w:val="24"/>
          <w:szCs w:val="24"/>
          <w:lang w:val="en-GB"/>
        </w:rPr>
        <w:t xml:space="preserve">IT </w:t>
      </w:r>
      <w:r w:rsidRPr="00E962DB">
        <w:rPr>
          <w:rFonts w:ascii="Arial" w:hAnsi="Arial" w:cs="Arial"/>
          <w:b/>
          <w:bCs/>
          <w:sz w:val="24"/>
          <w:szCs w:val="24"/>
          <w:lang w:val="en-GB"/>
        </w:rPr>
        <w:tab/>
      </w:r>
      <w:r w:rsidRPr="00E962DB">
        <w:rPr>
          <w:rFonts w:ascii="Arial" w:hAnsi="Arial" w:cs="Arial"/>
          <w:b/>
          <w:bCs/>
          <w:sz w:val="24"/>
          <w:szCs w:val="24"/>
          <w:lang w:val="en-GB"/>
        </w:rPr>
        <w:tab/>
      </w:r>
      <w:r w:rsidRPr="00E962DB">
        <w:rPr>
          <w:rFonts w:ascii="Arial" w:hAnsi="Arial" w:cs="Arial"/>
          <w:sz w:val="24"/>
          <w:szCs w:val="24"/>
          <w:lang w:val="en-GB"/>
        </w:rPr>
        <w:t>Information Technology</w:t>
      </w:r>
    </w:p>
    <w:p w14:paraId="635804AA" w14:textId="77777777" w:rsidR="00562F87" w:rsidRPr="00E962DB" w:rsidRDefault="00562F87" w:rsidP="00A057DD">
      <w:pPr>
        <w:autoSpaceDE w:val="0"/>
        <w:autoSpaceDN w:val="0"/>
        <w:adjustRightInd w:val="0"/>
        <w:spacing w:line="360" w:lineRule="auto"/>
        <w:rPr>
          <w:rFonts w:ascii="Arial" w:hAnsi="Arial" w:cs="Arial"/>
          <w:sz w:val="24"/>
          <w:szCs w:val="24"/>
          <w:lang w:val="en-GB"/>
        </w:rPr>
      </w:pPr>
      <w:r w:rsidRPr="00E962DB">
        <w:rPr>
          <w:rFonts w:ascii="Arial" w:hAnsi="Arial" w:cs="Arial"/>
          <w:b/>
          <w:bCs/>
          <w:sz w:val="24"/>
          <w:szCs w:val="24"/>
          <w:lang w:val="en-GB"/>
        </w:rPr>
        <w:t xml:space="preserve">CAA </w:t>
      </w:r>
      <w:r w:rsidRPr="00E962DB">
        <w:rPr>
          <w:rFonts w:ascii="Arial" w:hAnsi="Arial" w:cs="Arial"/>
          <w:b/>
          <w:bCs/>
          <w:sz w:val="24"/>
          <w:szCs w:val="24"/>
          <w:lang w:val="en-GB"/>
        </w:rPr>
        <w:tab/>
      </w:r>
      <w:r w:rsidRPr="00E962DB">
        <w:rPr>
          <w:rFonts w:ascii="Arial" w:hAnsi="Arial" w:cs="Arial"/>
          <w:b/>
          <w:bCs/>
          <w:sz w:val="24"/>
          <w:szCs w:val="24"/>
          <w:lang w:val="en-GB"/>
        </w:rPr>
        <w:tab/>
      </w:r>
      <w:r w:rsidRPr="00E962DB">
        <w:rPr>
          <w:rFonts w:ascii="Arial" w:hAnsi="Arial" w:cs="Arial"/>
          <w:sz w:val="24"/>
          <w:szCs w:val="24"/>
          <w:lang w:val="en-GB"/>
        </w:rPr>
        <w:t>Competent Authority Agreement</w:t>
      </w:r>
    </w:p>
    <w:p w14:paraId="42B7E26C" w14:textId="77777777" w:rsidR="00562F87" w:rsidRPr="00E962DB" w:rsidRDefault="00562F87" w:rsidP="00A057DD">
      <w:pPr>
        <w:autoSpaceDE w:val="0"/>
        <w:autoSpaceDN w:val="0"/>
        <w:adjustRightInd w:val="0"/>
        <w:spacing w:line="360" w:lineRule="auto"/>
        <w:rPr>
          <w:rFonts w:ascii="Arial" w:hAnsi="Arial" w:cs="Arial"/>
          <w:sz w:val="24"/>
          <w:szCs w:val="24"/>
          <w:lang w:val="en-GB"/>
        </w:rPr>
      </w:pPr>
      <w:r w:rsidRPr="00E962DB">
        <w:rPr>
          <w:rFonts w:ascii="Arial" w:hAnsi="Arial" w:cs="Arial"/>
          <w:b/>
          <w:bCs/>
          <w:sz w:val="24"/>
          <w:szCs w:val="24"/>
          <w:lang w:val="en-GB"/>
        </w:rPr>
        <w:t xml:space="preserve">OECD </w:t>
      </w:r>
      <w:r w:rsidRPr="00E962DB">
        <w:rPr>
          <w:rFonts w:ascii="Arial" w:hAnsi="Arial" w:cs="Arial"/>
          <w:b/>
          <w:bCs/>
          <w:sz w:val="24"/>
          <w:szCs w:val="24"/>
          <w:lang w:val="en-GB"/>
        </w:rPr>
        <w:tab/>
      </w:r>
      <w:r w:rsidRPr="00E962DB">
        <w:rPr>
          <w:rFonts w:ascii="Arial" w:hAnsi="Arial" w:cs="Arial"/>
          <w:sz w:val="24"/>
          <w:szCs w:val="24"/>
          <w:lang w:val="en-GB"/>
        </w:rPr>
        <w:t>Organisation for Economic Co-operation and Development</w:t>
      </w:r>
    </w:p>
    <w:p w14:paraId="23761BF5" w14:textId="77777777" w:rsidR="00562F87" w:rsidRPr="00E962DB" w:rsidRDefault="00562F87" w:rsidP="00A057DD">
      <w:pPr>
        <w:autoSpaceDE w:val="0"/>
        <w:autoSpaceDN w:val="0"/>
        <w:adjustRightInd w:val="0"/>
        <w:spacing w:line="360" w:lineRule="auto"/>
        <w:rPr>
          <w:rFonts w:ascii="Arial" w:hAnsi="Arial" w:cs="Arial"/>
          <w:sz w:val="24"/>
          <w:szCs w:val="24"/>
          <w:lang w:val="en-GB"/>
        </w:rPr>
      </w:pPr>
      <w:r w:rsidRPr="00E962DB">
        <w:rPr>
          <w:rFonts w:ascii="Arial" w:hAnsi="Arial"/>
          <w:b/>
          <w:color w:val="000000"/>
          <w:spacing w:val="-1"/>
          <w:sz w:val="24"/>
        </w:rPr>
        <w:t>MCAA</w:t>
      </w:r>
      <w:r w:rsidRPr="00E962DB">
        <w:rPr>
          <w:rFonts w:ascii="Arial" w:hAnsi="Arial"/>
          <w:b/>
          <w:color w:val="000000"/>
          <w:spacing w:val="-1"/>
          <w:sz w:val="24"/>
        </w:rPr>
        <w:tab/>
      </w:r>
      <w:r w:rsidRPr="00E962DB">
        <w:rPr>
          <w:rFonts w:ascii="Arial" w:hAnsi="Arial"/>
          <w:b/>
          <w:color w:val="000000"/>
          <w:spacing w:val="-1"/>
          <w:sz w:val="24"/>
        </w:rPr>
        <w:tab/>
      </w:r>
      <w:r w:rsidRPr="00E962DB">
        <w:rPr>
          <w:rFonts w:ascii="Arial" w:hAnsi="Arial"/>
          <w:color w:val="000000"/>
          <w:spacing w:val="-1"/>
          <w:sz w:val="24"/>
        </w:rPr>
        <w:t>Multilateral Competent Authority Agreement</w:t>
      </w:r>
    </w:p>
    <w:p w14:paraId="051B4DDD" w14:textId="77777777" w:rsidR="00562F87" w:rsidRPr="00E962DB" w:rsidRDefault="00562F87" w:rsidP="00A057DD">
      <w:pPr>
        <w:pStyle w:val="Heading1"/>
        <w:rPr>
          <w:lang w:val="en-GB"/>
        </w:rPr>
      </w:pPr>
    </w:p>
    <w:p w14:paraId="0386D22F" w14:textId="77777777" w:rsidR="00562F87" w:rsidRPr="00E962DB" w:rsidRDefault="00562F87" w:rsidP="005D0659">
      <w:pPr>
        <w:pStyle w:val="Heading2"/>
        <w:numPr>
          <w:ilvl w:val="0"/>
          <w:numId w:val="22"/>
        </w:numPr>
        <w:rPr>
          <w:lang w:val="en-GB"/>
        </w:rPr>
      </w:pPr>
      <w:bookmarkStart w:id="5" w:name="_Toc492290958"/>
      <w:r w:rsidRPr="00E962DB">
        <w:rPr>
          <w:lang w:val="en-GB"/>
        </w:rPr>
        <w:t>General</w:t>
      </w:r>
      <w:bookmarkEnd w:id="5"/>
    </w:p>
    <w:p w14:paraId="6639FFB5"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The Common Reporting Standard (CRS) was developed by the Organisation for Economic Co-operation and Development (OECD) on the mandate of the G20. It is the global standard for the automatic exchange of financial account information for tax purposes. CRS builds on the intergovernmental approach adopted by many jurisdictions for the implementation of the </w:t>
      </w:r>
      <w:smartTag w:uri="urn:schemas-microsoft-com:office:smarttags" w:element="place">
        <w:smartTag w:uri="urn:schemas-microsoft-com:office:smarttags" w:element="country-region">
          <w:r w:rsidRPr="00E962DB">
            <w:rPr>
              <w:rFonts w:ascii="Arial" w:hAnsi="Arial" w:cs="Arial"/>
              <w:color w:val="000000"/>
              <w:sz w:val="24"/>
              <w:lang w:val="en-GB"/>
            </w:rPr>
            <w:t>United States</w:t>
          </w:r>
        </w:smartTag>
      </w:smartTag>
      <w:r w:rsidRPr="00E962DB">
        <w:rPr>
          <w:rFonts w:ascii="Arial" w:hAnsi="Arial" w:cs="Arial"/>
          <w:color w:val="000000"/>
          <w:sz w:val="24"/>
          <w:lang w:val="en-GB"/>
        </w:rPr>
        <w:t xml:space="preserve"> Foreign Account Tax Compliance Act (FATCA) and is designed to maximise efficiency and minimise costs.</w:t>
      </w:r>
    </w:p>
    <w:p w14:paraId="5A13AA27"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3F738D7C"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Under CRS, jurisdictions obtain specified financial account information from their Financial Institutions and automatically exchange that information with Reportable Jurisdictions on an annual basis.</w:t>
      </w:r>
    </w:p>
    <w:p w14:paraId="4F07966D" w14:textId="77777777" w:rsidR="00562F87" w:rsidRPr="00E962DB" w:rsidRDefault="00562F87" w:rsidP="00A057DD">
      <w:pPr>
        <w:spacing w:line="360" w:lineRule="auto"/>
        <w:textAlignment w:val="baseline"/>
        <w:rPr>
          <w:rFonts w:ascii="Arial" w:hAnsi="Arial" w:cs="Arial"/>
          <w:b/>
          <w:color w:val="4F81BC"/>
          <w:spacing w:val="-1"/>
          <w:sz w:val="26"/>
          <w:lang w:val="en-GB"/>
        </w:rPr>
      </w:pPr>
    </w:p>
    <w:p w14:paraId="7122BF44" w14:textId="77777777" w:rsidR="00562F87" w:rsidRPr="00E962DB" w:rsidRDefault="00562F87" w:rsidP="00BC2525">
      <w:pPr>
        <w:pStyle w:val="Heading2"/>
        <w:numPr>
          <w:ilvl w:val="0"/>
          <w:numId w:val="22"/>
        </w:numPr>
        <w:rPr>
          <w:lang w:val="en-GB"/>
        </w:rPr>
      </w:pPr>
      <w:bookmarkStart w:id="6" w:name="_Toc492290959"/>
      <w:r w:rsidRPr="00E962DB">
        <w:rPr>
          <w:lang w:val="en-GB"/>
        </w:rPr>
        <w:t xml:space="preserve">CRS Implementation in The </w:t>
      </w:r>
      <w:smartTag w:uri="urn:schemas-microsoft-com:office:smarttags" w:element="place">
        <w:smartTag w:uri="urn:schemas-microsoft-com:office:smarttags" w:element="country-region">
          <w:r w:rsidRPr="00E962DB">
            <w:rPr>
              <w:lang w:val="en-GB"/>
            </w:rPr>
            <w:t>Bahamas</w:t>
          </w:r>
        </w:smartTag>
      </w:smartTag>
      <w:bookmarkEnd w:id="6"/>
    </w:p>
    <w:p w14:paraId="5D109494" w14:textId="77777777" w:rsidR="00562F87" w:rsidRPr="00E962DB" w:rsidRDefault="00562F87" w:rsidP="00BC2525">
      <w:pPr>
        <w:spacing w:line="360" w:lineRule="auto"/>
        <w:jc w:val="both"/>
        <w:textAlignment w:val="baseline"/>
        <w:rPr>
          <w:rFonts w:ascii="Arial" w:hAnsi="Arial" w:cs="Arial"/>
          <w:spacing w:val="1"/>
          <w:sz w:val="24"/>
          <w:lang w:val="en-GB"/>
        </w:rPr>
      </w:pPr>
      <w:r w:rsidRPr="00E962DB">
        <w:rPr>
          <w:rFonts w:ascii="Arial" w:hAnsi="Arial" w:cs="Arial"/>
          <w:spacing w:val="1"/>
          <w:sz w:val="24"/>
          <w:lang w:val="en-GB"/>
        </w:rPr>
        <w:t xml:space="preserve">CRS is implemented in The Bahamas through the Automatic Exchange of Financial Account Information, Act 2016 SI 37 of 2016 (the CRS Act) which authorises the automatic exchange of information for the purposes of CRS. The CRS Act came into force on 1 January 2017. CRS is to be applied in The Bahamas subject to the provisions set out in the CRS Act and the regulations made thereunder by the CRS Act. </w:t>
      </w:r>
    </w:p>
    <w:p w14:paraId="6020DBCA" w14:textId="77777777" w:rsidR="00562F87" w:rsidRPr="00E962DB" w:rsidRDefault="00562F87" w:rsidP="00BC2525">
      <w:pPr>
        <w:spacing w:line="360" w:lineRule="auto"/>
        <w:jc w:val="both"/>
        <w:textAlignment w:val="baseline"/>
        <w:rPr>
          <w:rFonts w:ascii="Arial" w:hAnsi="Arial" w:cs="Arial"/>
          <w:spacing w:val="1"/>
          <w:sz w:val="24"/>
          <w:lang w:val="en-GB"/>
        </w:rPr>
      </w:pPr>
    </w:p>
    <w:p w14:paraId="679CAF0B" w14:textId="77777777" w:rsidR="00562F87" w:rsidRPr="00E962DB" w:rsidRDefault="00562F87" w:rsidP="00BC2525">
      <w:pPr>
        <w:spacing w:line="360" w:lineRule="auto"/>
        <w:jc w:val="both"/>
        <w:textAlignment w:val="baseline"/>
        <w:rPr>
          <w:rFonts w:ascii="Arial" w:hAnsi="Arial" w:cs="Arial"/>
          <w:spacing w:val="1"/>
          <w:sz w:val="24"/>
          <w:lang w:val="en-GB"/>
        </w:rPr>
      </w:pPr>
      <w:r w:rsidRPr="00E962DB">
        <w:rPr>
          <w:rFonts w:ascii="Arial" w:hAnsi="Arial" w:cs="Arial"/>
          <w:spacing w:val="1"/>
          <w:sz w:val="24"/>
          <w:lang w:val="en-GB"/>
        </w:rPr>
        <w:t>The CRS Regulations are the Automatic Exchange of Financial Account Information Regulations, 2017 signed by the Minister of Finance on March 8, 2017 and also published by Extraordinary Gazette S.I. No. 16 of 2017 on March 8, 2017.  The CRS Regulations are presently in force.</w:t>
      </w:r>
    </w:p>
    <w:p w14:paraId="00F430F6" w14:textId="77777777" w:rsidR="00562F87" w:rsidRPr="00E962DB" w:rsidRDefault="00562F87" w:rsidP="00BC2525">
      <w:pPr>
        <w:tabs>
          <w:tab w:val="left" w:pos="360"/>
          <w:tab w:val="left" w:pos="720"/>
        </w:tabs>
        <w:spacing w:line="360" w:lineRule="auto"/>
        <w:textAlignment w:val="baseline"/>
        <w:rPr>
          <w:rFonts w:ascii="Arial" w:hAnsi="Arial" w:cs="Arial"/>
          <w:spacing w:val="1"/>
          <w:sz w:val="24"/>
          <w:lang w:val="en-GB"/>
        </w:rPr>
      </w:pPr>
    </w:p>
    <w:p w14:paraId="3306F96D" w14:textId="0461DD2A" w:rsidR="00562F87" w:rsidRPr="00E962DB" w:rsidRDefault="00562F87" w:rsidP="00BC2525">
      <w:pPr>
        <w:spacing w:line="360" w:lineRule="auto"/>
        <w:jc w:val="both"/>
        <w:rPr>
          <w:rFonts w:ascii="Arial" w:hAnsi="Arial" w:cs="Arial"/>
          <w:sz w:val="24"/>
          <w:szCs w:val="24"/>
        </w:rPr>
      </w:pPr>
      <w:r w:rsidRPr="00E962DB">
        <w:rPr>
          <w:rFonts w:ascii="Arial" w:hAnsi="Arial" w:cs="Arial"/>
          <w:sz w:val="24"/>
          <w:szCs w:val="24"/>
        </w:rPr>
        <w:t>On May 29, 2017, the Government of The Bahamas formally advised the OECD of its intention to accede to the Multilateral Convention on Mutual Administrative Assistance in Tax Matters (Multilateral Convention). This indication is</w:t>
      </w:r>
      <w:r w:rsidR="00ED39D7" w:rsidRPr="00E962DB">
        <w:rPr>
          <w:rFonts w:ascii="Arial" w:hAnsi="Arial" w:cs="Arial"/>
          <w:sz w:val="24"/>
          <w:szCs w:val="24"/>
        </w:rPr>
        <w:t xml:space="preserve"> the</w:t>
      </w:r>
      <w:r w:rsidRPr="00E962DB">
        <w:rPr>
          <w:rFonts w:ascii="Arial" w:hAnsi="Arial" w:cs="Arial"/>
          <w:sz w:val="24"/>
          <w:szCs w:val="24"/>
        </w:rPr>
        <w:t xml:space="preserve"> consistent </w:t>
      </w:r>
      <w:r w:rsidR="00ED39D7" w:rsidRPr="00E962DB">
        <w:rPr>
          <w:rFonts w:ascii="Arial" w:hAnsi="Arial" w:cs="Arial"/>
          <w:sz w:val="24"/>
          <w:szCs w:val="24"/>
        </w:rPr>
        <w:t>approach taken by Global Forum members committed to automatic exchange of information.</w:t>
      </w:r>
      <w:r w:rsidRPr="00E962DB">
        <w:rPr>
          <w:rFonts w:ascii="Arial" w:hAnsi="Arial" w:cs="Arial"/>
          <w:sz w:val="24"/>
          <w:szCs w:val="24"/>
        </w:rPr>
        <w:t xml:space="preserve"> </w:t>
      </w:r>
    </w:p>
    <w:p w14:paraId="2D9B9CF2" w14:textId="77777777" w:rsidR="00562F87" w:rsidRPr="00E962DB" w:rsidRDefault="00562F87" w:rsidP="00BC2525">
      <w:pPr>
        <w:spacing w:line="360" w:lineRule="auto"/>
        <w:jc w:val="both"/>
        <w:rPr>
          <w:rFonts w:ascii="Arial" w:hAnsi="Arial" w:cs="Arial"/>
          <w:sz w:val="24"/>
          <w:szCs w:val="24"/>
        </w:rPr>
      </w:pPr>
    </w:p>
    <w:p w14:paraId="45E0C6CB" w14:textId="77777777" w:rsidR="00562F87" w:rsidRPr="00E962DB" w:rsidRDefault="00562F87" w:rsidP="00EA2B75">
      <w:pPr>
        <w:spacing w:line="360" w:lineRule="auto"/>
        <w:jc w:val="both"/>
        <w:rPr>
          <w:rFonts w:ascii="Arial" w:hAnsi="Arial" w:cs="Arial"/>
          <w:sz w:val="24"/>
          <w:szCs w:val="24"/>
        </w:rPr>
      </w:pPr>
      <w:r w:rsidRPr="00E962DB">
        <w:rPr>
          <w:rFonts w:ascii="Arial" w:hAnsi="Arial" w:cs="Arial"/>
          <w:sz w:val="24"/>
          <w:szCs w:val="24"/>
        </w:rPr>
        <w:t>The Multilateral Convention will be supported by the Government of The Bahamas signing the CRS Multilateral Competent Authority Agreement (MCAA). The MCAA is a multilateral framework agreement that specifies the details of what information will be exchanged between signatories and when exchange shall occur. Notwithstanding the fact that The Bahamas will sign onto the MCAA, the MCAA will only be binding on The Bahamas with respect to another signatory of the MCAA if:</w:t>
      </w:r>
    </w:p>
    <w:p w14:paraId="5B3737E4" w14:textId="77777777" w:rsidR="00562F87" w:rsidRPr="00E962DB" w:rsidRDefault="00562F87" w:rsidP="00EA2B75">
      <w:pPr>
        <w:spacing w:line="360" w:lineRule="auto"/>
        <w:jc w:val="both"/>
        <w:rPr>
          <w:rFonts w:ascii="Arial" w:hAnsi="Arial" w:cs="Arial"/>
          <w:sz w:val="24"/>
          <w:szCs w:val="24"/>
        </w:rPr>
      </w:pPr>
      <w:r w:rsidRPr="00E962DB">
        <w:rPr>
          <w:rFonts w:ascii="Arial" w:hAnsi="Arial" w:cs="Arial"/>
          <w:sz w:val="24"/>
          <w:szCs w:val="24"/>
        </w:rPr>
        <w:t xml:space="preserve"> (a) The Bahamas Competent Authority has notified the OECD’s Co-ordinating Body Secretariat that such signatory is on the list of the jurisdictions of the Competent Authorities, with respect to which it intends to have the MCAA in effect; and </w:t>
      </w:r>
    </w:p>
    <w:p w14:paraId="70681BC3" w14:textId="77777777" w:rsidR="00562F87" w:rsidRPr="00E962DB" w:rsidRDefault="00562F87" w:rsidP="00EA2B75">
      <w:pPr>
        <w:spacing w:line="360" w:lineRule="auto"/>
        <w:jc w:val="both"/>
        <w:rPr>
          <w:rFonts w:ascii="Arial" w:hAnsi="Arial" w:cs="Arial"/>
          <w:sz w:val="24"/>
          <w:szCs w:val="24"/>
        </w:rPr>
      </w:pPr>
      <w:r w:rsidRPr="00E962DB">
        <w:rPr>
          <w:rFonts w:ascii="Arial" w:hAnsi="Arial" w:cs="Arial"/>
          <w:sz w:val="24"/>
          <w:szCs w:val="24"/>
        </w:rPr>
        <w:t>(b) the Competent Authority of the signatory has notified to the OECD’s Co-ordinating Body Secretariat that, amongst other things, The Bahamas is on the list of the jurisdictions of the Competent Authorities with respect to which it intends to have the MCAA in effect.</w:t>
      </w:r>
    </w:p>
    <w:p w14:paraId="64FE044B" w14:textId="77777777" w:rsidR="00562F87" w:rsidRPr="00E962DB" w:rsidRDefault="00562F87" w:rsidP="00BC2525">
      <w:pPr>
        <w:spacing w:line="360" w:lineRule="auto"/>
        <w:jc w:val="both"/>
        <w:rPr>
          <w:rFonts w:ascii="Arial" w:hAnsi="Arial" w:cs="Arial"/>
          <w:sz w:val="24"/>
          <w:szCs w:val="24"/>
        </w:rPr>
      </w:pPr>
    </w:p>
    <w:p w14:paraId="7FF7A635" w14:textId="77777777" w:rsidR="00562F87" w:rsidRPr="00E962DB" w:rsidRDefault="00562F87" w:rsidP="00BC2525">
      <w:pPr>
        <w:spacing w:line="360" w:lineRule="auto"/>
        <w:jc w:val="both"/>
        <w:rPr>
          <w:rFonts w:ascii="Arial" w:hAnsi="Arial" w:cs="Arial"/>
          <w:sz w:val="24"/>
          <w:szCs w:val="24"/>
        </w:rPr>
      </w:pPr>
      <w:r w:rsidRPr="00E962DB">
        <w:rPr>
          <w:rFonts w:ascii="Arial" w:hAnsi="Arial" w:cs="Arial"/>
          <w:sz w:val="24"/>
          <w:szCs w:val="24"/>
        </w:rPr>
        <w:t>The Government of The Bahamas may also enter into Bilateral Competent Authority Agreements (BCAAs) with jurisdictions, governing the basis upon which The Bahamas’ Competent Authority will share information with the jurisdiction of the Party to the BCCA’s Competent Authority.</w:t>
      </w:r>
    </w:p>
    <w:p w14:paraId="5AB02DD9" w14:textId="77777777" w:rsidR="00562F87" w:rsidRPr="00E962DB" w:rsidRDefault="00562F87" w:rsidP="00BC2525">
      <w:pPr>
        <w:spacing w:line="360" w:lineRule="auto"/>
        <w:jc w:val="both"/>
        <w:rPr>
          <w:rFonts w:ascii="Arial" w:hAnsi="Arial" w:cs="Arial"/>
          <w:sz w:val="24"/>
          <w:szCs w:val="24"/>
        </w:rPr>
      </w:pPr>
    </w:p>
    <w:p w14:paraId="33DBBB92" w14:textId="77777777" w:rsidR="00562F87" w:rsidRPr="00E962DB" w:rsidRDefault="00562F87" w:rsidP="00BC2525">
      <w:pPr>
        <w:spacing w:line="360" w:lineRule="auto"/>
        <w:jc w:val="both"/>
        <w:rPr>
          <w:rFonts w:ascii="Arial" w:hAnsi="Arial" w:cs="Arial"/>
          <w:sz w:val="24"/>
          <w:szCs w:val="24"/>
        </w:rPr>
      </w:pPr>
      <w:r w:rsidRPr="00E962DB">
        <w:rPr>
          <w:rFonts w:ascii="Arial" w:hAnsi="Arial" w:cs="Arial"/>
          <w:sz w:val="24"/>
          <w:szCs w:val="24"/>
        </w:rPr>
        <w:t xml:space="preserve">Exchange of information under the MCAA or a BCAA will be on a non-reciprocal basis. As a result, The Bahamas will exchange information with Reportable Jurisdictions, but will not receive information from such jurisdictions. </w:t>
      </w:r>
    </w:p>
    <w:p w14:paraId="0FB78C6F" w14:textId="77777777" w:rsidR="00562F87" w:rsidRPr="00E962DB" w:rsidRDefault="00562F87" w:rsidP="00BC2525">
      <w:pPr>
        <w:pStyle w:val="ListParagraph"/>
        <w:spacing w:line="360" w:lineRule="auto"/>
        <w:jc w:val="both"/>
        <w:rPr>
          <w:rFonts w:ascii="Arial" w:hAnsi="Arial" w:cs="Arial"/>
          <w:sz w:val="24"/>
          <w:szCs w:val="24"/>
        </w:rPr>
      </w:pPr>
    </w:p>
    <w:p w14:paraId="0F93413D" w14:textId="77777777" w:rsidR="00562F87" w:rsidRPr="00E962DB" w:rsidRDefault="00562F87" w:rsidP="00BC2525">
      <w:pPr>
        <w:spacing w:line="360" w:lineRule="auto"/>
        <w:jc w:val="both"/>
        <w:rPr>
          <w:rFonts w:ascii="Arial" w:hAnsi="Arial" w:cs="Arial"/>
          <w:sz w:val="24"/>
          <w:szCs w:val="24"/>
        </w:rPr>
      </w:pPr>
      <w:r w:rsidRPr="00E962DB">
        <w:rPr>
          <w:rFonts w:ascii="Arial" w:hAnsi="Arial" w:cs="Arial"/>
          <w:sz w:val="24"/>
          <w:szCs w:val="24"/>
        </w:rPr>
        <w:t xml:space="preserve">The Bahamas has adopted the “wider approach” to CRS, which means that Bahamian Reporting Financial Institutions will need to collect and retain the required information for all account holders. </w:t>
      </w:r>
    </w:p>
    <w:p w14:paraId="1F3A7C81" w14:textId="77777777" w:rsidR="00562F87" w:rsidRPr="00E962DB" w:rsidRDefault="00562F87" w:rsidP="00BC2525">
      <w:pPr>
        <w:pStyle w:val="Heading2"/>
        <w:rPr>
          <w:lang w:val="en-GB"/>
        </w:rPr>
      </w:pPr>
    </w:p>
    <w:p w14:paraId="21C7354F" w14:textId="77777777" w:rsidR="00562F87" w:rsidRPr="00E962DB" w:rsidRDefault="00562F87" w:rsidP="000418E5">
      <w:pPr>
        <w:pStyle w:val="Heading2"/>
        <w:numPr>
          <w:ilvl w:val="0"/>
          <w:numId w:val="22"/>
        </w:numPr>
        <w:rPr>
          <w:lang w:val="en-GB"/>
        </w:rPr>
      </w:pPr>
      <w:bookmarkStart w:id="7" w:name="_Toc492290960"/>
      <w:r w:rsidRPr="00E962DB">
        <w:rPr>
          <w:lang w:val="en-GB"/>
        </w:rPr>
        <w:t>Core Documents for Effective Application of CRS</w:t>
      </w:r>
      <w:bookmarkEnd w:id="7"/>
      <w:r w:rsidRPr="00E962DB">
        <w:rPr>
          <w:lang w:val="en-GB"/>
        </w:rPr>
        <w:t xml:space="preserve"> </w:t>
      </w:r>
    </w:p>
    <w:p w14:paraId="7254E65F" w14:textId="77777777" w:rsidR="00562F87" w:rsidRPr="00E962DB" w:rsidRDefault="00562F87" w:rsidP="000418E5">
      <w:p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5"/>
          <w:sz w:val="24"/>
          <w:lang w:val="en-GB"/>
        </w:rPr>
        <w:t>CRS consists of the Common Reporting Standards and the Commentary on CRS as published by the OECD on 15 July 2014 and on the OECD website (</w:t>
      </w:r>
      <w:hyperlink r:id="rId14" w:history="1">
        <w:r w:rsidRPr="00E962DB">
          <w:rPr>
            <w:rStyle w:val="Hyperlink"/>
            <w:rFonts w:ascii="Arial" w:hAnsi="Arial" w:cs="Arial"/>
            <w:sz w:val="24"/>
            <w:lang w:val="en-GB"/>
          </w:rPr>
          <w:t>http://www.oecd.org/tax/automatic-exchange/common-reporting-standard/</w:t>
        </w:r>
      </w:hyperlink>
      <w:r w:rsidRPr="00E962DB">
        <w:rPr>
          <w:rFonts w:ascii="Arial" w:hAnsi="Arial" w:cs="Arial"/>
          <w:color w:val="000000"/>
          <w:spacing w:val="5"/>
          <w:sz w:val="24"/>
          <w:lang w:val="en-GB"/>
        </w:rPr>
        <w:t>)</w:t>
      </w:r>
      <w:r w:rsidRPr="00E962DB">
        <w:rPr>
          <w:rFonts w:ascii="Arial" w:hAnsi="Arial" w:cs="Arial"/>
          <w:color w:val="000000"/>
          <w:spacing w:val="-2"/>
          <w:sz w:val="24"/>
          <w:lang w:val="en-GB"/>
        </w:rPr>
        <w:t>.</w:t>
      </w:r>
    </w:p>
    <w:p w14:paraId="3E16C013" w14:textId="77777777" w:rsidR="00562F87" w:rsidRPr="00E962DB" w:rsidRDefault="00562F87" w:rsidP="000418E5">
      <w:pPr>
        <w:spacing w:line="360" w:lineRule="auto"/>
        <w:jc w:val="both"/>
        <w:textAlignment w:val="baseline"/>
        <w:rPr>
          <w:rFonts w:ascii="Arial" w:hAnsi="Arial" w:cs="Arial"/>
          <w:color w:val="000000"/>
          <w:spacing w:val="-2"/>
          <w:sz w:val="24"/>
          <w:lang w:val="en-GB"/>
        </w:rPr>
      </w:pPr>
    </w:p>
    <w:p w14:paraId="09D37298" w14:textId="77777777" w:rsidR="00562F87" w:rsidRPr="00E962DB" w:rsidRDefault="00562F87" w:rsidP="000418E5">
      <w:pPr>
        <w:tabs>
          <w:tab w:val="left" w:pos="360"/>
          <w:tab w:val="left" w:pos="720"/>
        </w:tabs>
        <w:spacing w:line="360" w:lineRule="auto"/>
        <w:jc w:val="both"/>
        <w:textAlignment w:val="baseline"/>
        <w:rPr>
          <w:rFonts w:ascii="Arial" w:hAnsi="Arial" w:cs="Arial"/>
          <w:color w:val="000000"/>
          <w:sz w:val="24"/>
          <w:lang w:val="en-GB"/>
        </w:rPr>
      </w:pPr>
      <w:r w:rsidRPr="00E962DB">
        <w:rPr>
          <w:rFonts w:ascii="Arial" w:hAnsi="Arial" w:cs="Arial"/>
          <w:sz w:val="24"/>
          <w:lang w:val="en-GB"/>
        </w:rPr>
        <w:t xml:space="preserve">CRS </w:t>
      </w:r>
      <w:r w:rsidRPr="00E962DB">
        <w:rPr>
          <w:rFonts w:ascii="Arial" w:hAnsi="Arial" w:cs="Arial"/>
          <w:color w:val="000000"/>
          <w:sz w:val="24"/>
          <w:lang w:val="en-GB"/>
        </w:rPr>
        <w:t>contains the due diligence and reporting rules for Financial Institutions and the Commentary on CRS, which is an integral part of CRS, is intended to illustrate and interpret its provisions.</w:t>
      </w:r>
    </w:p>
    <w:p w14:paraId="0FDFF4F5" w14:textId="77777777" w:rsidR="00562F87" w:rsidRPr="00E962DB" w:rsidRDefault="00562F87" w:rsidP="000418E5">
      <w:pPr>
        <w:spacing w:line="360" w:lineRule="auto"/>
        <w:jc w:val="both"/>
        <w:textAlignment w:val="baseline"/>
        <w:rPr>
          <w:rFonts w:ascii="Arial" w:hAnsi="Arial" w:cs="Arial"/>
          <w:color w:val="000000"/>
          <w:sz w:val="24"/>
          <w:lang w:val="en-GB"/>
        </w:rPr>
      </w:pPr>
    </w:p>
    <w:p w14:paraId="1DC51646" w14:textId="77777777" w:rsidR="00562F87" w:rsidRPr="00E962DB" w:rsidRDefault="00562F87">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Commentary on CRS as published by the OECD on 15 July 2014 is incorporated by reference and any updates by way of Commentaries forms an integral part of these Guidance Notes.</w:t>
      </w:r>
    </w:p>
    <w:p w14:paraId="2CF448E8" w14:textId="77777777" w:rsidR="00562F87" w:rsidRPr="00E962DB" w:rsidRDefault="00562F87">
      <w:pPr>
        <w:spacing w:line="360" w:lineRule="auto"/>
        <w:jc w:val="both"/>
        <w:textAlignment w:val="baseline"/>
        <w:rPr>
          <w:rFonts w:ascii="Arial" w:hAnsi="Arial" w:cs="Arial"/>
          <w:color w:val="000000"/>
          <w:sz w:val="24"/>
          <w:lang w:val="en-GB"/>
        </w:rPr>
      </w:pPr>
    </w:p>
    <w:p w14:paraId="329DBF14" w14:textId="77777777" w:rsidR="00562F87" w:rsidRPr="00E962DB" w:rsidRDefault="00562F87">
      <w:pPr>
        <w:spacing w:line="360" w:lineRule="auto"/>
        <w:jc w:val="both"/>
        <w:textAlignment w:val="baseline"/>
        <w:rPr>
          <w:rFonts w:ascii="Arial" w:hAnsi="Arial" w:cs="Arial"/>
          <w:sz w:val="24"/>
          <w:lang w:val="en-GB"/>
        </w:rPr>
      </w:pPr>
      <w:r w:rsidRPr="00E962DB">
        <w:rPr>
          <w:rFonts w:ascii="Arial" w:hAnsi="Arial" w:cs="Arial"/>
          <w:color w:val="000000"/>
          <w:sz w:val="24"/>
          <w:lang w:val="en-GB"/>
        </w:rPr>
        <w:t xml:space="preserve">The OECD has developed a </w:t>
      </w:r>
      <w:r w:rsidRPr="00E962DB">
        <w:rPr>
          <w:rFonts w:ascii="Arial" w:hAnsi="Arial" w:cs="Arial"/>
          <w:sz w:val="24"/>
          <w:lang w:val="en-GB"/>
        </w:rPr>
        <w:t>comprehensive Automatic Exchange Portal (</w:t>
      </w:r>
      <w:hyperlink r:id="rId15" w:history="1">
        <w:r w:rsidRPr="00E962DB">
          <w:rPr>
            <w:rStyle w:val="Hyperlink"/>
            <w:rFonts w:ascii="Arial" w:hAnsi="Arial" w:cs="Arial"/>
            <w:sz w:val="24"/>
            <w:lang w:val="en-GB"/>
          </w:rPr>
          <w:t>http://www.oecd.org/tax/automatic-exchange/about-automatic-exchange/</w:t>
        </w:r>
      </w:hyperlink>
      <w:r w:rsidRPr="00E962DB">
        <w:rPr>
          <w:rFonts w:ascii="Arial" w:hAnsi="Arial" w:cs="Arial"/>
          <w:sz w:val="24"/>
          <w:lang w:val="en-GB"/>
        </w:rPr>
        <w:t xml:space="preserve">) that is the principal source for CRS materials and resources. </w:t>
      </w:r>
    </w:p>
    <w:p w14:paraId="68B83117" w14:textId="77777777" w:rsidR="00562F87" w:rsidRPr="00E962DB" w:rsidRDefault="00562F87">
      <w:pPr>
        <w:spacing w:line="360" w:lineRule="auto"/>
        <w:jc w:val="both"/>
        <w:textAlignment w:val="baseline"/>
        <w:rPr>
          <w:rFonts w:ascii="Arial" w:hAnsi="Arial" w:cs="Arial"/>
          <w:sz w:val="24"/>
          <w:lang w:val="en-GB"/>
        </w:rPr>
      </w:pPr>
    </w:p>
    <w:p w14:paraId="7D401C7D" w14:textId="77777777" w:rsidR="00562F87" w:rsidRPr="00E962DB" w:rsidRDefault="00562F87">
      <w:pPr>
        <w:pStyle w:val="Heading2"/>
        <w:numPr>
          <w:ilvl w:val="0"/>
          <w:numId w:val="22"/>
        </w:numPr>
        <w:rPr>
          <w:b w:val="0"/>
          <w:sz w:val="24"/>
          <w:szCs w:val="24"/>
        </w:rPr>
      </w:pPr>
      <w:bookmarkStart w:id="8" w:name="_Toc486329088"/>
      <w:bookmarkStart w:id="9" w:name="_Toc492290961"/>
      <w:r w:rsidRPr="00E962DB">
        <w:rPr>
          <w:sz w:val="24"/>
          <w:szCs w:val="24"/>
        </w:rPr>
        <w:t xml:space="preserve">Resources to Aid CRS </w:t>
      </w:r>
      <w:bookmarkEnd w:id="8"/>
      <w:r w:rsidRPr="00E962DB">
        <w:rPr>
          <w:sz w:val="24"/>
          <w:szCs w:val="24"/>
        </w:rPr>
        <w:t>Application</w:t>
      </w:r>
      <w:bookmarkEnd w:id="9"/>
    </w:p>
    <w:p w14:paraId="1F91DF26" w14:textId="77777777" w:rsidR="00562F87" w:rsidRPr="00E962DB" w:rsidRDefault="00562F87" w:rsidP="00551E93">
      <w:pPr>
        <w:pStyle w:val="Default"/>
        <w:spacing w:line="360" w:lineRule="auto"/>
        <w:jc w:val="both"/>
        <w:rPr>
          <w:rFonts w:ascii="Arial" w:hAnsi="Arial" w:cs="Arial"/>
        </w:rPr>
      </w:pPr>
      <w:r w:rsidRPr="00E962DB">
        <w:rPr>
          <w:rFonts w:ascii="Arial" w:hAnsi="Arial" w:cs="Arial"/>
        </w:rPr>
        <w:t xml:space="preserve">In addition to the Commentaries on CRS, Financial Institutions are encouraged to consult the CRS Implementation Handbook and </w:t>
      </w:r>
      <w:r w:rsidRPr="00E962DB">
        <w:rPr>
          <w:rFonts w:ascii="Arial" w:hAnsi="Arial" w:cs="Arial"/>
          <w:spacing w:val="1"/>
        </w:rPr>
        <w:t xml:space="preserve">CRS-related FAQs, which are published </w:t>
      </w:r>
      <w:r w:rsidRPr="00E962DB">
        <w:rPr>
          <w:rFonts w:ascii="Arial" w:hAnsi="Arial" w:cs="Arial"/>
          <w:spacing w:val="5"/>
        </w:rPr>
        <w:t>on the OECD website (</w:t>
      </w:r>
      <w:hyperlink r:id="rId16" w:history="1">
        <w:r w:rsidRPr="00E962DB">
          <w:rPr>
            <w:rStyle w:val="Hyperlink"/>
            <w:rFonts w:ascii="Arial" w:hAnsi="Arial" w:cs="Arial"/>
            <w:sz w:val="26"/>
          </w:rPr>
          <w:t>http://www.oecd.org/tax/automatic-exchange/common-reporting-standard/CRS-related-FAQs.pdf</w:t>
        </w:r>
      </w:hyperlink>
      <w:r w:rsidRPr="00E962DB">
        <w:rPr>
          <w:rFonts w:ascii="Arial" w:hAnsi="Arial" w:cs="Arial"/>
        </w:rPr>
        <w:t xml:space="preserve">). </w:t>
      </w:r>
    </w:p>
    <w:p w14:paraId="3A2A7279" w14:textId="77777777" w:rsidR="00562F87" w:rsidRPr="00E962DB" w:rsidRDefault="00562F87" w:rsidP="00551E93">
      <w:pPr>
        <w:pStyle w:val="Default"/>
        <w:spacing w:line="360" w:lineRule="auto"/>
        <w:jc w:val="both"/>
        <w:rPr>
          <w:rFonts w:ascii="Arial" w:hAnsi="Arial" w:cs="Arial"/>
        </w:rPr>
      </w:pPr>
    </w:p>
    <w:p w14:paraId="0976523E" w14:textId="6A10D639" w:rsidR="00562F87" w:rsidRPr="00E962DB" w:rsidRDefault="00562F87" w:rsidP="00551E93">
      <w:pPr>
        <w:pStyle w:val="Default"/>
        <w:spacing w:line="360" w:lineRule="auto"/>
        <w:jc w:val="both"/>
        <w:rPr>
          <w:rFonts w:ascii="Arial" w:hAnsi="Arial" w:cs="Arial"/>
        </w:rPr>
      </w:pPr>
      <w:r w:rsidRPr="00E962DB">
        <w:rPr>
          <w:rFonts w:ascii="Arial" w:hAnsi="Arial" w:cs="Arial"/>
        </w:rPr>
        <w:t xml:space="preserve">Financial institutions should </w:t>
      </w:r>
      <w:r w:rsidR="00207F68" w:rsidRPr="00E962DB">
        <w:rPr>
          <w:rFonts w:ascii="Arial" w:hAnsi="Arial" w:cs="Arial"/>
        </w:rPr>
        <w:t xml:space="preserve">use </w:t>
      </w:r>
      <w:r w:rsidRPr="00E962DB">
        <w:rPr>
          <w:rFonts w:ascii="Arial" w:hAnsi="Arial" w:cs="Arial"/>
        </w:rPr>
        <w:t xml:space="preserve">The CRS </w:t>
      </w:r>
      <w:r w:rsidR="00207F68" w:rsidRPr="00E962DB">
        <w:rPr>
          <w:rFonts w:ascii="Arial" w:hAnsi="Arial" w:cs="Arial"/>
        </w:rPr>
        <w:t>I</w:t>
      </w:r>
      <w:r w:rsidRPr="00E962DB">
        <w:rPr>
          <w:rFonts w:ascii="Arial" w:hAnsi="Arial" w:cs="Arial"/>
        </w:rPr>
        <w:t>mplementation Handbook and the FAQs for guidance</w:t>
      </w:r>
      <w:r w:rsidR="00207F68" w:rsidRPr="00E962DB">
        <w:rPr>
          <w:rFonts w:ascii="Arial" w:hAnsi="Arial" w:cs="Arial"/>
        </w:rPr>
        <w:t xml:space="preserve"> when implementing The Standard</w:t>
      </w:r>
      <w:r w:rsidRPr="00E962DB">
        <w:rPr>
          <w:rFonts w:ascii="Arial" w:hAnsi="Arial" w:cs="Arial"/>
        </w:rPr>
        <w:t>.  The OECD maintains and regularly updates the list of frequently asked questions (FAQs) on the application of the Common Reporting Standard (CRS). The FAQs were received from business and government delegates. The answers to such questions provide further precisions on the CRS and help to ensure consistency in implementation.</w:t>
      </w:r>
    </w:p>
    <w:p w14:paraId="1B3DD68A" w14:textId="77777777" w:rsidR="00562F87" w:rsidRPr="00E962DB" w:rsidRDefault="00562F87" w:rsidP="00551E93">
      <w:pPr>
        <w:pStyle w:val="Heading2"/>
        <w:rPr>
          <w:lang w:val="en-GB"/>
        </w:rPr>
      </w:pPr>
    </w:p>
    <w:p w14:paraId="2E5C2096" w14:textId="77777777" w:rsidR="00562F87" w:rsidRPr="00E962DB" w:rsidRDefault="00562F87" w:rsidP="00065CD7">
      <w:pPr>
        <w:pStyle w:val="Heading2"/>
        <w:numPr>
          <w:ilvl w:val="0"/>
          <w:numId w:val="22"/>
        </w:numPr>
        <w:rPr>
          <w:lang w:val="en-GB"/>
        </w:rPr>
      </w:pPr>
      <w:bookmarkStart w:id="10" w:name="_Toc492290962"/>
      <w:r w:rsidRPr="00E962DB">
        <w:rPr>
          <w:lang w:val="en-GB"/>
        </w:rPr>
        <w:t>Purpose of Guidance Notes</w:t>
      </w:r>
      <w:bookmarkEnd w:id="10"/>
    </w:p>
    <w:p w14:paraId="1F5AD3AA"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As CRS is a global standard, the OECD has developed extensive and comprehensive materials for the consistent application and interpretation of CRS by all jurisdictions. These Guidance Notes are therefore limited to providing guidance on aspects of CRS that are particular to The Bahamas. The guidance notes are not intended to replicate the information in the aforementioned OECD documents, which form the core of CRS and its interpretation thereof.</w:t>
      </w:r>
    </w:p>
    <w:p w14:paraId="7A76EAEF"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3F1FCC49"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A Financial Institution must apply the CRS Act and the CRS Regulations</w:t>
      </w:r>
      <w:r w:rsidRPr="00E962DB">
        <w:rPr>
          <w:rFonts w:ascii="Arial" w:hAnsi="Arial"/>
          <w:color w:val="000000"/>
          <w:sz w:val="24"/>
        </w:rPr>
        <w:t xml:space="preserve"> in force at the time, using these Guidance Notes as a form of reference</w:t>
      </w:r>
      <w:r w:rsidRPr="00E962DB">
        <w:rPr>
          <w:rFonts w:ascii="Arial" w:hAnsi="Arial" w:cs="Arial"/>
          <w:color w:val="000000"/>
          <w:sz w:val="24"/>
          <w:lang w:val="en-GB"/>
        </w:rPr>
        <w:t>.</w:t>
      </w:r>
      <w:r w:rsidRPr="00E962DB">
        <w:rPr>
          <w:rFonts w:ascii="Arial" w:hAnsi="Arial" w:cs="Arial"/>
          <w:spacing w:val="1"/>
          <w:sz w:val="24"/>
          <w:lang w:val="en-GB"/>
        </w:rPr>
        <w:t>Financial Institutions may also have regard to the OECD CRS Implementation Handbooks and CRS-related FAQs previously mentioned in interpreting the CRS..</w:t>
      </w:r>
    </w:p>
    <w:p w14:paraId="41ECD0EE"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35180E15"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Certain issues may not be covered in these Guidance Notes this is in circumstances where the CRS Act and CRS Regulations are considered to be sufficiently clear. Where topics are covered, these Guidance Notes are not exhaustive, however they do seek to convey principles which can be applied to various situations and circumstances which are particularly are of significance to The Bahamas. If further guidance is required, it may be sought from The Bahamas Competent Authority.</w:t>
      </w:r>
    </w:p>
    <w:p w14:paraId="76E10A60"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32580168"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A guiding principle in implementing the CRS legislation, and therefore of these Guidance Notes, is the desire to avoid any unnecessary administrative and cost burdens and to ensure the efficient operation of the reporting requirements. </w:t>
      </w:r>
    </w:p>
    <w:p w14:paraId="753AC86C"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6B27C8AC"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These Guidance Notes are a living document that may be amended from time to time by The Bahamas Competent Authority, as permitted under the CRS Regulations. Accordingly, valid suggestions for alterations and amendments arising from the use of the Guidance Notes may be raised with The Bahamas Competent Authority.</w:t>
      </w:r>
    </w:p>
    <w:p w14:paraId="704A6EFC"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7290A72A" w14:textId="3D40BCCE"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These Guidance Notes apply to and are designed to assist persons who may be affected by the CRS Act. </w:t>
      </w:r>
      <w:r w:rsidRPr="00E962DB">
        <w:rPr>
          <w:rFonts w:ascii="Arial" w:hAnsi="Arial"/>
          <w:color w:val="000000"/>
          <w:sz w:val="24"/>
        </w:rPr>
        <w:t xml:space="preserve">These Guidance Notes are not intended to take the place </w:t>
      </w:r>
      <w:r w:rsidR="00466AB0" w:rsidRPr="00E962DB">
        <w:rPr>
          <w:rFonts w:ascii="Arial" w:hAnsi="Arial"/>
          <w:color w:val="000000"/>
          <w:sz w:val="24"/>
        </w:rPr>
        <w:t>of independent</w:t>
      </w:r>
      <w:r w:rsidRPr="00E962DB">
        <w:rPr>
          <w:rFonts w:ascii="Arial" w:hAnsi="Arial"/>
          <w:color w:val="000000"/>
          <w:sz w:val="24"/>
        </w:rPr>
        <w:t xml:space="preserve"> professional advice and should therefore not be treated as such independent professional advice should be sought </w:t>
      </w:r>
      <w:r w:rsidR="00466AB0" w:rsidRPr="00E962DB">
        <w:rPr>
          <w:rFonts w:ascii="Arial" w:hAnsi="Arial"/>
          <w:color w:val="000000"/>
          <w:sz w:val="24"/>
        </w:rPr>
        <w:t>when</w:t>
      </w:r>
      <w:r w:rsidRPr="00E962DB">
        <w:rPr>
          <w:rFonts w:ascii="Arial" w:hAnsi="Arial"/>
          <w:color w:val="000000"/>
          <w:sz w:val="24"/>
        </w:rPr>
        <w:t xml:space="preserve"> it is required.</w:t>
      </w:r>
    </w:p>
    <w:p w14:paraId="3269EC92"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24A56FB0" w14:textId="1F11831B"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Financial Institutions are encouraged to seek independent professional advice if they are unsure of their obligations under the CRS framework.</w:t>
      </w:r>
    </w:p>
    <w:p w14:paraId="79BA73D2" w14:textId="77777777" w:rsidR="00562F87" w:rsidRPr="00E962DB" w:rsidRDefault="00562F87" w:rsidP="00744DE3">
      <w:pPr>
        <w:pStyle w:val="Heading2"/>
        <w:keepNext/>
        <w:tabs>
          <w:tab w:val="left" w:pos="1575"/>
        </w:tabs>
        <w:rPr>
          <w:lang w:val="en-GB"/>
        </w:rPr>
      </w:pPr>
    </w:p>
    <w:p w14:paraId="00FA4B09" w14:textId="77777777" w:rsidR="00562F87" w:rsidRPr="00E962DB" w:rsidRDefault="00562F87" w:rsidP="00065CD7">
      <w:pPr>
        <w:pStyle w:val="Heading2"/>
        <w:numPr>
          <w:ilvl w:val="0"/>
          <w:numId w:val="22"/>
        </w:numPr>
        <w:rPr>
          <w:lang w:val="en-GB"/>
        </w:rPr>
      </w:pPr>
      <w:bookmarkStart w:id="11" w:name="_Toc492290963"/>
      <w:r w:rsidRPr="00E962DB">
        <w:rPr>
          <w:lang w:val="en-GB"/>
        </w:rPr>
        <w:t>The Bahamas Competent Authority</w:t>
      </w:r>
      <w:bookmarkEnd w:id="11"/>
    </w:p>
    <w:p w14:paraId="1D1D429B"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The Bahamas Competent Authority is the Financial Secretary of the Ministry of Finance (The Bahamas Competent Authority) as designated by </w:t>
      </w:r>
      <w:r w:rsidRPr="00E962DB">
        <w:rPr>
          <w:rFonts w:ascii="Arial" w:hAnsi="Arial"/>
          <w:color w:val="000000"/>
          <w:sz w:val="24"/>
        </w:rPr>
        <w:t>the CRS Act</w:t>
      </w:r>
      <w:r w:rsidRPr="00E962DB">
        <w:rPr>
          <w:rFonts w:ascii="Arial" w:hAnsi="Arial" w:cs="Arial"/>
          <w:color w:val="000000"/>
          <w:sz w:val="24"/>
          <w:lang w:val="en-GB"/>
        </w:rPr>
        <w:t>, or his delegate. The delegated functions are carried out by the Designated Officer and staff of The Bahamas Competent Authority, which is the government department responsible for the operation of all mechanisms for the exchange of information for tax purposes.</w:t>
      </w:r>
    </w:p>
    <w:p w14:paraId="0690FFD7"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03B39DAF" w14:textId="7DDF56CE"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Bahamas Competent Authority will receive the information required to be disclosed by Reporting Financial Institutions and transmit that information to the partnering jurisdiction’s Competent Authority in respect of the CAA. The Bahamas Competent Authority will periodically verify the compliance of Reporting Financial Institutions. It is the responsibility of each Reporting Financial Institution to provide the correct information in the prescribed format to The Bahamas Competent Authority. The prescribed format for reporting will be provided by The Bahamas Competent Authority.</w:t>
      </w:r>
    </w:p>
    <w:p w14:paraId="1CB4F1BE"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64AAD9D4" w14:textId="7C121F48" w:rsidR="00562F87" w:rsidRPr="00E962DB" w:rsidRDefault="00562F87" w:rsidP="00633A3E">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Bahamas Competent Authority will monitor compliance by Financial Institutions with domestic legal requirements and, as necessary, will enforce the CRS Act and CRS Regulations, including cases where significant non-compliance is brought to its notice by the partnering jurisdiction’s Competent Authorities. The diagram below outlines the  process and  role of The Bahamas Competent Authority and Bahamian Financial Institutions in the transmission of data under CRS. .</w:t>
      </w:r>
    </w:p>
    <w:p w14:paraId="09738D5F" w14:textId="77777777" w:rsidR="00562F87" w:rsidRPr="00E962DB" w:rsidRDefault="00562F87" w:rsidP="00633A3E">
      <w:pPr>
        <w:spacing w:line="360" w:lineRule="auto"/>
        <w:jc w:val="both"/>
        <w:textAlignment w:val="baseline"/>
        <w:rPr>
          <w:rFonts w:ascii="Arial" w:hAnsi="Arial" w:cs="Arial"/>
          <w:color w:val="000000"/>
          <w:sz w:val="18"/>
          <w:szCs w:val="18"/>
          <w:lang w:val="en-GB"/>
        </w:rPr>
      </w:pPr>
    </w:p>
    <w:p w14:paraId="31032E29" w14:textId="77777777" w:rsidR="00562F87" w:rsidRPr="00E962DB" w:rsidRDefault="00562F87" w:rsidP="002F62A5">
      <w:pPr>
        <w:tabs>
          <w:tab w:val="left" w:pos="3960"/>
        </w:tabs>
        <w:spacing w:line="360" w:lineRule="auto"/>
        <w:ind w:left="3600" w:right="2850"/>
        <w:jc w:val="both"/>
        <w:textAlignment w:val="baseline"/>
        <w:rPr>
          <w:rFonts w:ascii="Arial" w:hAnsi="Arial" w:cs="Arial"/>
          <w:color w:val="000000"/>
          <w:sz w:val="18"/>
          <w:szCs w:val="18"/>
          <w:lang w:val="en-GB"/>
        </w:rPr>
      </w:pPr>
      <w:r w:rsidRPr="00E962DB">
        <w:rPr>
          <w:rFonts w:ascii="Arial" w:hAnsi="Arial" w:cs="Arial"/>
          <w:color w:val="000000"/>
          <w:sz w:val="18"/>
          <w:szCs w:val="18"/>
          <w:lang w:val="en-GB"/>
        </w:rPr>
        <w:t>4.</w:t>
      </w:r>
      <w:r w:rsidRPr="00E962DB">
        <w:rPr>
          <w:rFonts w:ascii="Arial" w:hAnsi="Arial" w:cs="Arial"/>
          <w:color w:val="000000"/>
          <w:sz w:val="18"/>
          <w:szCs w:val="18"/>
          <w:lang w:val="en-GB"/>
        </w:rPr>
        <w:tab/>
        <w:t>Send information to Partnering Jurisdiction Competent Authority</w:t>
      </w:r>
    </w:p>
    <w:p w14:paraId="620E9AA8" w14:textId="567DB098" w:rsidR="00562F87" w:rsidRPr="00E962DB" w:rsidRDefault="003C415F" w:rsidP="00633A3E">
      <w:pPr>
        <w:spacing w:line="360" w:lineRule="auto"/>
        <w:jc w:val="both"/>
        <w:textAlignment w:val="baseline"/>
        <w:rPr>
          <w:rFonts w:ascii="Arial" w:hAnsi="Arial" w:cs="Arial"/>
          <w:color w:val="000000"/>
          <w:sz w:val="24"/>
          <w:lang w:val="en-GB"/>
        </w:rPr>
      </w:pPr>
      <w:r w:rsidRPr="00E962DB">
        <w:rPr>
          <w:noProof/>
        </w:rPr>
        <mc:AlternateContent>
          <mc:Choice Requires="wps">
            <w:drawing>
              <wp:anchor distT="0" distB="0" distL="114300" distR="114300" simplePos="0" relativeHeight="251656192" behindDoc="0" locked="0" layoutInCell="1" allowOverlap="1" wp14:anchorId="459945B2" wp14:editId="215BB6BA">
                <wp:simplePos x="0" y="0"/>
                <wp:positionH relativeFrom="column">
                  <wp:posOffset>4383405</wp:posOffset>
                </wp:positionH>
                <wp:positionV relativeFrom="paragraph">
                  <wp:posOffset>20320</wp:posOffset>
                </wp:positionV>
                <wp:extent cx="2322195" cy="826770"/>
                <wp:effectExtent l="11430" t="13335" r="9525" b="762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2195" cy="826770"/>
                        </a:xfrm>
                        <a:prstGeom prst="rect">
                          <a:avLst/>
                        </a:prstGeom>
                        <a:solidFill>
                          <a:srgbClr val="FFFFFF"/>
                        </a:solidFill>
                        <a:ln w="12700">
                          <a:solidFill>
                            <a:srgbClr val="000000"/>
                          </a:solidFill>
                          <a:miter lim="800000"/>
                          <a:headEnd/>
                          <a:tailEnd/>
                        </a:ln>
                      </wps:spPr>
                      <wps:txbx>
                        <w:txbxContent>
                          <w:p w14:paraId="0DAFBA43" w14:textId="77777777" w:rsidR="00744D35" w:rsidRDefault="00744D35" w:rsidP="00633A3E">
                            <w:pPr>
                              <w:jc w:val="center"/>
                              <w:rPr>
                                <w:rFonts w:ascii="Arial" w:hAnsi="Arial" w:cs="Arial"/>
                                <w:b/>
                                <w:sz w:val="18"/>
                                <w:szCs w:val="18"/>
                              </w:rPr>
                            </w:pPr>
                            <w:r w:rsidRPr="008B52E7">
                              <w:rPr>
                                <w:rFonts w:ascii="Arial" w:hAnsi="Arial" w:cs="Arial"/>
                                <w:b/>
                                <w:sz w:val="18"/>
                                <w:szCs w:val="18"/>
                              </w:rPr>
                              <w:t>Partnering Jurisdiction Competent Authority</w:t>
                            </w:r>
                          </w:p>
                          <w:p w14:paraId="298942B4" w14:textId="77777777" w:rsidR="00744D35" w:rsidRPr="008B52E7" w:rsidRDefault="00744D35" w:rsidP="002F62A5">
                            <w:pPr>
                              <w:tabs>
                                <w:tab w:val="left" w:pos="360"/>
                              </w:tabs>
                              <w:jc w:val="center"/>
                              <w:rPr>
                                <w:rFonts w:ascii="Arial" w:hAnsi="Arial" w:cs="Arial"/>
                                <w:sz w:val="18"/>
                                <w:szCs w:val="18"/>
                              </w:rPr>
                            </w:pPr>
                            <w:r>
                              <w:rPr>
                                <w:rFonts w:ascii="Arial" w:hAnsi="Arial" w:cs="Arial"/>
                                <w:sz w:val="18"/>
                                <w:szCs w:val="18"/>
                              </w:rPr>
                              <w:t>5</w:t>
                            </w:r>
                            <w:r w:rsidRPr="008B52E7">
                              <w:rPr>
                                <w:rFonts w:ascii="Arial" w:hAnsi="Arial" w:cs="Arial"/>
                                <w:sz w:val="18"/>
                                <w:szCs w:val="18"/>
                              </w:rPr>
                              <w:t>.</w:t>
                            </w:r>
                            <w:r>
                              <w:rPr>
                                <w:rFonts w:ascii="Arial" w:hAnsi="Arial" w:cs="Arial"/>
                                <w:sz w:val="18"/>
                                <w:szCs w:val="18"/>
                              </w:rPr>
                              <w:tab/>
                              <w:t>Receives information from The Bahamas Competent Authority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9945B2" id="Rectangle 6" o:spid="_x0000_s1026" style="position:absolute;left:0;text-align:left;margin-left:345.15pt;margin-top:1.6pt;width:182.85pt;height:6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" strokeweight="1pt">
                <v:path arrowok="t"/>
                <v:textbox>
                  <w:txbxContent>
                    <w:p w14:paraId="0DAFBA43" w14:textId="77777777" w:rsidR="00744D35" w:rsidRDefault="00744D35" w:rsidP="00633A3E">
                      <w:pPr>
                        <w:jc w:val="center"/>
                        <w:rPr>
                          <w:rFonts w:ascii="Arial" w:hAnsi="Arial" w:cs="Arial"/>
                          <w:b/>
                          <w:sz w:val="18"/>
                          <w:szCs w:val="18"/>
                        </w:rPr>
                      </w:pPr>
                      <w:r w:rsidRPr="008B52E7">
                        <w:rPr>
                          <w:rFonts w:ascii="Arial" w:hAnsi="Arial" w:cs="Arial"/>
                          <w:b/>
                          <w:sz w:val="18"/>
                          <w:szCs w:val="18"/>
                        </w:rPr>
                        <w:t>Partnering Jurisdiction Competent Authority</w:t>
                      </w:r>
                    </w:p>
                    <w:p w14:paraId="298942B4" w14:textId="77777777" w:rsidR="00744D35" w:rsidRPr="008B52E7" w:rsidRDefault="00744D35" w:rsidP="002F62A5">
                      <w:pPr>
                        <w:tabs>
                          <w:tab w:val="left" w:pos="360"/>
                        </w:tabs>
                        <w:jc w:val="center"/>
                        <w:rPr>
                          <w:rFonts w:ascii="Arial" w:hAnsi="Arial" w:cs="Arial"/>
                          <w:sz w:val="18"/>
                          <w:szCs w:val="18"/>
                        </w:rPr>
                      </w:pPr>
                      <w:r>
                        <w:rPr>
                          <w:rFonts w:ascii="Arial" w:hAnsi="Arial" w:cs="Arial"/>
                          <w:sz w:val="18"/>
                          <w:szCs w:val="18"/>
                        </w:rPr>
                        <w:t>5</w:t>
                      </w:r>
                      <w:r w:rsidRPr="008B52E7">
                        <w:rPr>
                          <w:rFonts w:ascii="Arial" w:hAnsi="Arial" w:cs="Arial"/>
                          <w:sz w:val="18"/>
                          <w:szCs w:val="18"/>
                        </w:rPr>
                        <w:t>.</w:t>
                      </w:r>
                      <w:r>
                        <w:rPr>
                          <w:rFonts w:ascii="Arial" w:hAnsi="Arial" w:cs="Arial"/>
                          <w:sz w:val="18"/>
                          <w:szCs w:val="18"/>
                        </w:rPr>
                        <w:tab/>
                        <w:t>Receives information from The Bahamas Competent Authority</w:t>
                      </w:r>
                    </w:p>
                  </w:txbxContent>
                </v:textbox>
              </v:rect>
            </w:pict>
          </mc:Fallback>
        </mc:AlternateContent>
      </w:r>
      <w:r w:rsidRPr="00E962DB">
        <w:rPr>
          <w:noProof/>
        </w:rPr>
        <mc:AlternateContent>
          <mc:Choice Requires="wps">
            <w:drawing>
              <wp:anchor distT="0" distB="0" distL="114300" distR="114300" simplePos="0" relativeHeight="251650048" behindDoc="0" locked="0" layoutInCell="1" allowOverlap="1" wp14:anchorId="2413973E" wp14:editId="464A511E">
                <wp:simplePos x="0" y="0"/>
                <wp:positionH relativeFrom="column">
                  <wp:posOffset>124460</wp:posOffset>
                </wp:positionH>
                <wp:positionV relativeFrom="paragraph">
                  <wp:posOffset>48260</wp:posOffset>
                </wp:positionV>
                <wp:extent cx="2194560" cy="468630"/>
                <wp:effectExtent l="10160" t="12700" r="14605" b="1397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4560" cy="468630"/>
                        </a:xfrm>
                        <a:prstGeom prst="rect">
                          <a:avLst/>
                        </a:prstGeom>
                        <a:solidFill>
                          <a:srgbClr val="FFFFFF"/>
                        </a:solidFill>
                        <a:ln w="12700">
                          <a:solidFill>
                            <a:srgbClr val="000000"/>
                          </a:solidFill>
                          <a:miter lim="800000"/>
                          <a:headEnd/>
                          <a:tailEnd/>
                        </a:ln>
                      </wps:spPr>
                      <wps:txbx>
                        <w:txbxContent>
                          <w:p w14:paraId="125E221C" w14:textId="77777777" w:rsidR="00744D35" w:rsidRPr="008B52E7" w:rsidRDefault="00744D35" w:rsidP="00633A3E">
                            <w:pPr>
                              <w:jc w:val="center"/>
                              <w:rPr>
                                <w:rFonts w:ascii="Arial" w:hAnsi="Arial" w:cs="Arial"/>
                                <w:b/>
                                <w:sz w:val="18"/>
                                <w:szCs w:val="18"/>
                              </w:rPr>
                            </w:pPr>
                            <w:r w:rsidRPr="008B52E7">
                              <w:rPr>
                                <w:rFonts w:ascii="Arial" w:hAnsi="Arial" w:cs="Arial"/>
                                <w:b/>
                                <w:sz w:val="18"/>
                                <w:szCs w:val="18"/>
                              </w:rPr>
                              <w:t>The Bahamas Competent Authority</w:t>
                            </w:r>
                          </w:p>
                          <w:p w14:paraId="404F3F33" w14:textId="77777777" w:rsidR="00744D35" w:rsidRPr="002F62A5" w:rsidRDefault="00744D35" w:rsidP="002F62A5">
                            <w:pPr>
                              <w:ind w:left="360"/>
                              <w:jc w:val="center"/>
                              <w:rPr>
                                <w:rFonts w:ascii="Arial" w:hAnsi="Arial" w:cs="Arial"/>
                                <w:sz w:val="18"/>
                                <w:szCs w:val="18"/>
                              </w:rPr>
                            </w:pPr>
                            <w:r>
                              <w:rPr>
                                <w:rFonts w:ascii="Arial" w:hAnsi="Arial" w:cs="Arial"/>
                                <w:sz w:val="18"/>
                                <w:szCs w:val="18"/>
                              </w:rPr>
                              <w:t>3.</w:t>
                            </w:r>
                            <w:r>
                              <w:rPr>
                                <w:rFonts w:ascii="Arial" w:hAnsi="Arial" w:cs="Arial"/>
                                <w:sz w:val="18"/>
                                <w:szCs w:val="18"/>
                              </w:rPr>
                              <w:tab/>
                            </w:r>
                            <w:r w:rsidRPr="002F62A5">
                              <w:rPr>
                                <w:rFonts w:ascii="Arial" w:hAnsi="Arial" w:cs="Arial"/>
                                <w:sz w:val="18"/>
                                <w:szCs w:val="18"/>
                              </w:rPr>
                              <w:t>Receiv</w:t>
                            </w:r>
                            <w:r>
                              <w:rPr>
                                <w:rFonts w:ascii="Arial" w:hAnsi="Arial" w:cs="Arial"/>
                                <w:sz w:val="18"/>
                                <w:szCs w:val="18"/>
                              </w:rPr>
                              <w:t>es</w:t>
                            </w:r>
                            <w:r w:rsidRPr="002F62A5">
                              <w:rPr>
                                <w:rFonts w:ascii="Arial" w:hAnsi="Arial" w:cs="Arial"/>
                                <w:sz w:val="18"/>
                                <w:szCs w:val="18"/>
                              </w:rPr>
                              <w:t xml:space="preserve"> information </w:t>
                            </w:r>
                            <w:r>
                              <w:rPr>
                                <w:rFonts w:ascii="Arial" w:hAnsi="Arial" w:cs="Arial"/>
                                <w:sz w:val="18"/>
                                <w:szCs w:val="18"/>
                              </w:rPr>
                              <w:t>from Bahamian Financial Institution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13973E" id="Rectangle 2" o:spid="_x0000_s1027" style="position:absolute;left:0;text-align:left;margin-left:9.8pt;margin-top:3.8pt;width:172.8pt;height:3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" strokeweight="1pt">
                <v:path arrowok="t"/>
                <v:textbox>
                  <w:txbxContent>
                    <w:p w14:paraId="125E221C" w14:textId="77777777" w:rsidR="00744D35" w:rsidRPr="008B52E7" w:rsidRDefault="00744D35" w:rsidP="00633A3E">
                      <w:pPr>
                        <w:jc w:val="center"/>
                        <w:rPr>
                          <w:rFonts w:ascii="Arial" w:hAnsi="Arial" w:cs="Arial"/>
                          <w:b/>
                          <w:sz w:val="18"/>
                          <w:szCs w:val="18"/>
                        </w:rPr>
                      </w:pPr>
                      <w:r w:rsidRPr="008B52E7">
                        <w:rPr>
                          <w:rFonts w:ascii="Arial" w:hAnsi="Arial" w:cs="Arial"/>
                          <w:b/>
                          <w:sz w:val="18"/>
                          <w:szCs w:val="18"/>
                        </w:rPr>
                        <w:t>The Bahamas Competent Authority</w:t>
                      </w:r>
                    </w:p>
                    <w:p w14:paraId="404F3F33" w14:textId="77777777" w:rsidR="00744D35" w:rsidRPr="002F62A5" w:rsidRDefault="00744D35" w:rsidP="002F62A5">
                      <w:pPr>
                        <w:ind w:left="360"/>
                        <w:jc w:val="center"/>
                        <w:rPr>
                          <w:rFonts w:ascii="Arial" w:hAnsi="Arial" w:cs="Arial"/>
                          <w:sz w:val="18"/>
                          <w:szCs w:val="18"/>
                        </w:rPr>
                      </w:pPr>
                      <w:r>
                        <w:rPr>
                          <w:rFonts w:ascii="Arial" w:hAnsi="Arial" w:cs="Arial"/>
                          <w:sz w:val="18"/>
                          <w:szCs w:val="18"/>
                        </w:rPr>
                        <w:t>3.</w:t>
                      </w:r>
                      <w:r>
                        <w:rPr>
                          <w:rFonts w:ascii="Arial" w:hAnsi="Arial" w:cs="Arial"/>
                          <w:sz w:val="18"/>
                          <w:szCs w:val="18"/>
                        </w:rPr>
                        <w:tab/>
                      </w:r>
                      <w:r w:rsidRPr="002F62A5">
                        <w:rPr>
                          <w:rFonts w:ascii="Arial" w:hAnsi="Arial" w:cs="Arial"/>
                          <w:sz w:val="18"/>
                          <w:szCs w:val="18"/>
                        </w:rPr>
                        <w:t>Receiv</w:t>
                      </w:r>
                      <w:r>
                        <w:rPr>
                          <w:rFonts w:ascii="Arial" w:hAnsi="Arial" w:cs="Arial"/>
                          <w:sz w:val="18"/>
                          <w:szCs w:val="18"/>
                        </w:rPr>
                        <w:t>es</w:t>
                      </w:r>
                      <w:r w:rsidRPr="002F62A5">
                        <w:rPr>
                          <w:rFonts w:ascii="Arial" w:hAnsi="Arial" w:cs="Arial"/>
                          <w:sz w:val="18"/>
                          <w:szCs w:val="18"/>
                        </w:rPr>
                        <w:t xml:space="preserve"> information </w:t>
                      </w:r>
                      <w:r>
                        <w:rPr>
                          <w:rFonts w:ascii="Arial" w:hAnsi="Arial" w:cs="Arial"/>
                          <w:sz w:val="18"/>
                          <w:szCs w:val="18"/>
                        </w:rPr>
                        <w:t>from Bahamian Financial Institution</w:t>
                      </w:r>
                    </w:p>
                  </w:txbxContent>
                </v:textbox>
              </v:rect>
            </w:pict>
          </mc:Fallback>
        </mc:AlternateContent>
      </w:r>
    </w:p>
    <w:p w14:paraId="65500EF9" w14:textId="476646F3" w:rsidR="00562F87" w:rsidRPr="00E962DB" w:rsidRDefault="003C415F" w:rsidP="00633A3E">
      <w:pPr>
        <w:spacing w:line="360" w:lineRule="auto"/>
        <w:jc w:val="both"/>
        <w:textAlignment w:val="baseline"/>
        <w:rPr>
          <w:rFonts w:ascii="Arial" w:hAnsi="Arial" w:cs="Arial"/>
          <w:color w:val="000000"/>
          <w:sz w:val="24"/>
          <w:lang w:val="en-GB"/>
        </w:rPr>
      </w:pPr>
      <w:r w:rsidRPr="00E962DB">
        <w:rPr>
          <w:noProof/>
        </w:rPr>
        <mc:AlternateContent>
          <mc:Choice Requires="wps">
            <w:drawing>
              <wp:anchor distT="4294967294" distB="4294967294" distL="114300" distR="114300" simplePos="0" relativeHeight="251658240" behindDoc="0" locked="0" layoutInCell="1" allowOverlap="1" wp14:anchorId="1E9DF1F4" wp14:editId="2825A637">
                <wp:simplePos x="0" y="0"/>
                <wp:positionH relativeFrom="column">
                  <wp:posOffset>2419350</wp:posOffset>
                </wp:positionH>
                <wp:positionV relativeFrom="paragraph">
                  <wp:posOffset>29210</wp:posOffset>
                </wp:positionV>
                <wp:extent cx="1884045" cy="0"/>
                <wp:effectExtent l="19050" t="75565" r="30480" b="67310"/>
                <wp:wrapNone/>
                <wp:docPr id="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4045" cy="0"/>
                        </a:xfrm>
                        <a:prstGeom prst="straightConnector1">
                          <a:avLst/>
                        </a:prstGeom>
                        <a:noFill/>
                        <a:ln w="28575">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F5F5F" id="_x0000_t32" coordsize="21600,21600" o:spt="32" o:oned="t" path="m,l21600,21600e" filled="f">
                <v:path arrowok="t" fillok="f" o:connecttype="none"/>
                <o:lock v:ext="edit" shapetype="t"/>
              </v:shapetype>
              <v:shape id="Straight Arrow Connector 7" o:spid="_x0000_s1026" type="#_x0000_t32" style="position:absolute;margin-left:190.5pt;margin-top:2.3pt;width:148.3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" strokecolor="#5b9bd5" strokeweight="2.25pt">
                <v:stroke endarrow="block" joinstyle="miter"/>
                <o:lock v:ext="edit" shapetype="f"/>
              </v:shape>
            </w:pict>
          </mc:Fallback>
        </mc:AlternateContent>
      </w:r>
    </w:p>
    <w:p w14:paraId="4B5B4E88" w14:textId="23DB0A1C" w:rsidR="00562F87" w:rsidRPr="00E962DB" w:rsidRDefault="003C415F" w:rsidP="00633A3E">
      <w:pPr>
        <w:spacing w:line="360" w:lineRule="auto"/>
        <w:jc w:val="both"/>
        <w:textAlignment w:val="baseline"/>
        <w:rPr>
          <w:rFonts w:ascii="Arial" w:hAnsi="Arial" w:cs="Arial"/>
          <w:color w:val="000000"/>
          <w:sz w:val="24"/>
          <w:lang w:val="en-GB"/>
        </w:rPr>
      </w:pPr>
      <w:r w:rsidRPr="00E962DB">
        <w:rPr>
          <w:noProof/>
        </w:rPr>
        <mc:AlternateContent>
          <mc:Choice Requires="wps">
            <w:drawing>
              <wp:anchor distT="0" distB="0" distL="114298" distR="114298" simplePos="0" relativeHeight="251654144" behindDoc="0" locked="0" layoutInCell="1" allowOverlap="1" wp14:anchorId="2C57DB9C" wp14:editId="5BB758EB">
                <wp:simplePos x="0" y="0"/>
                <wp:positionH relativeFrom="column">
                  <wp:posOffset>1042035</wp:posOffset>
                </wp:positionH>
                <wp:positionV relativeFrom="paragraph">
                  <wp:posOffset>107315</wp:posOffset>
                </wp:positionV>
                <wp:extent cx="0" cy="594995"/>
                <wp:effectExtent l="70485" t="26035" r="72390" b="17145"/>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594995"/>
                        </a:xfrm>
                        <a:prstGeom prst="straightConnector1">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192B8" id="Straight Arrow Connector 4" o:spid="_x0000_s1026" type="#_x0000_t32" style="position:absolute;margin-left:82.05pt;margin-top:8.45pt;width:0;height:46.85pt;flip:y;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" strokecolor="#4472c4" strokeweight="2.25pt">
                <v:stroke endarrow="block" joinstyle="miter"/>
                <o:lock v:ext="edit" shapetype="f"/>
              </v:shape>
            </w:pict>
          </mc:Fallback>
        </mc:AlternateContent>
      </w:r>
    </w:p>
    <w:p w14:paraId="08E09CB7" w14:textId="77777777" w:rsidR="00562F87" w:rsidRPr="00E962DB" w:rsidRDefault="00562F87" w:rsidP="00633A3E">
      <w:pPr>
        <w:spacing w:line="360" w:lineRule="auto"/>
        <w:jc w:val="both"/>
        <w:textAlignment w:val="baseline"/>
        <w:rPr>
          <w:rFonts w:ascii="Arial" w:hAnsi="Arial" w:cs="Arial"/>
          <w:color w:val="000000"/>
          <w:sz w:val="18"/>
          <w:szCs w:val="18"/>
          <w:lang w:val="en-GB"/>
        </w:rPr>
      </w:pPr>
    </w:p>
    <w:p w14:paraId="2BE8BBC6" w14:textId="77777777" w:rsidR="00562F87" w:rsidRPr="00E962DB" w:rsidRDefault="00562F87" w:rsidP="006759C8">
      <w:pPr>
        <w:pStyle w:val="ListParagraph"/>
        <w:numPr>
          <w:ilvl w:val="0"/>
          <w:numId w:val="7"/>
        </w:numPr>
        <w:spacing w:line="360" w:lineRule="auto"/>
        <w:jc w:val="both"/>
        <w:textAlignment w:val="baseline"/>
        <w:rPr>
          <w:rFonts w:ascii="Arial" w:hAnsi="Arial" w:cs="Arial"/>
          <w:color w:val="000000"/>
          <w:sz w:val="18"/>
          <w:szCs w:val="18"/>
          <w:lang w:val="en-GB"/>
        </w:rPr>
      </w:pPr>
      <w:r w:rsidRPr="00E962DB">
        <w:rPr>
          <w:rFonts w:ascii="Arial" w:hAnsi="Arial" w:cs="Arial"/>
          <w:color w:val="000000"/>
          <w:sz w:val="18"/>
          <w:szCs w:val="18"/>
          <w:lang w:val="en-GB"/>
        </w:rPr>
        <w:t>Report information to The  Bahamas Competent Authority</w:t>
      </w:r>
    </w:p>
    <w:p w14:paraId="1A78639D" w14:textId="09BC7376" w:rsidR="00562F87" w:rsidRPr="00E962DB" w:rsidRDefault="003C415F" w:rsidP="00633A3E">
      <w:pPr>
        <w:spacing w:line="360" w:lineRule="auto"/>
        <w:jc w:val="both"/>
        <w:textAlignment w:val="baseline"/>
        <w:rPr>
          <w:rFonts w:ascii="Arial" w:hAnsi="Arial" w:cs="Arial"/>
          <w:color w:val="000000"/>
          <w:sz w:val="24"/>
          <w:lang w:val="en-GB"/>
        </w:rPr>
      </w:pPr>
      <w:r w:rsidRPr="00E962DB">
        <w:rPr>
          <w:noProof/>
        </w:rPr>
        <mc:AlternateContent>
          <mc:Choice Requires="wps">
            <w:drawing>
              <wp:anchor distT="0" distB="0" distL="114300" distR="114300" simplePos="0" relativeHeight="251652096" behindDoc="0" locked="0" layoutInCell="1" allowOverlap="1" wp14:anchorId="4190AB77" wp14:editId="2030C32E">
                <wp:simplePos x="0" y="0"/>
                <wp:positionH relativeFrom="column">
                  <wp:posOffset>274955</wp:posOffset>
                </wp:positionH>
                <wp:positionV relativeFrom="paragraph">
                  <wp:posOffset>151765</wp:posOffset>
                </wp:positionV>
                <wp:extent cx="1367155" cy="397510"/>
                <wp:effectExtent l="8255" t="13335" r="15240" b="82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397510"/>
                        </a:xfrm>
                        <a:prstGeom prst="rect">
                          <a:avLst/>
                        </a:prstGeom>
                        <a:solidFill>
                          <a:srgbClr val="FFFFFF"/>
                        </a:solidFill>
                        <a:ln w="12700">
                          <a:solidFill>
                            <a:srgbClr val="000000"/>
                          </a:solidFill>
                          <a:miter lim="800000"/>
                          <a:headEnd/>
                          <a:tailEnd/>
                        </a:ln>
                      </wps:spPr>
                      <wps:txbx>
                        <w:txbxContent>
                          <w:p w14:paraId="7B3E98DD" w14:textId="77777777" w:rsidR="00744D35" w:rsidRPr="008B52E7" w:rsidRDefault="00744D35" w:rsidP="00633A3E">
                            <w:pPr>
                              <w:jc w:val="center"/>
                              <w:rPr>
                                <w:rFonts w:ascii="Arial" w:hAnsi="Arial" w:cs="Arial"/>
                                <w:b/>
                                <w:sz w:val="18"/>
                                <w:szCs w:val="18"/>
                              </w:rPr>
                            </w:pPr>
                            <w:r w:rsidRPr="008B52E7">
                              <w:rPr>
                                <w:rFonts w:ascii="Arial" w:hAnsi="Arial" w:cs="Arial"/>
                                <w:b/>
                                <w:sz w:val="18"/>
                                <w:szCs w:val="18"/>
                              </w:rPr>
                              <w:t>Bahamian Financial Institution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90AB77" id="Rectangle 3" o:spid="_x0000_s1028" style="position:absolute;left:0;text-align:left;margin-left:21.65pt;margin-top:11.95pt;width:107.65pt;height:3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" strokeweight="1pt">
                <v:path arrowok="t"/>
                <v:textbox>
                  <w:txbxContent>
                    <w:p w14:paraId="7B3E98DD" w14:textId="77777777" w:rsidR="00744D35" w:rsidRPr="008B52E7" w:rsidRDefault="00744D35" w:rsidP="00633A3E">
                      <w:pPr>
                        <w:jc w:val="center"/>
                        <w:rPr>
                          <w:rFonts w:ascii="Arial" w:hAnsi="Arial" w:cs="Arial"/>
                          <w:b/>
                          <w:sz w:val="18"/>
                          <w:szCs w:val="18"/>
                        </w:rPr>
                      </w:pPr>
                      <w:r w:rsidRPr="008B52E7">
                        <w:rPr>
                          <w:rFonts w:ascii="Arial" w:hAnsi="Arial" w:cs="Arial"/>
                          <w:b/>
                          <w:sz w:val="18"/>
                          <w:szCs w:val="18"/>
                        </w:rPr>
                        <w:t>Bahamian Financial Institution</w:t>
                      </w:r>
                    </w:p>
                  </w:txbxContent>
                </v:textbox>
              </v:rect>
            </w:pict>
          </mc:Fallback>
        </mc:AlternateContent>
      </w:r>
    </w:p>
    <w:p w14:paraId="179238DB" w14:textId="77777777" w:rsidR="00562F87" w:rsidRPr="00E962DB" w:rsidRDefault="00562F87" w:rsidP="00633A3E">
      <w:pPr>
        <w:spacing w:line="360" w:lineRule="auto"/>
        <w:jc w:val="both"/>
        <w:textAlignment w:val="baseline"/>
        <w:rPr>
          <w:rFonts w:ascii="Arial" w:hAnsi="Arial" w:cs="Arial"/>
          <w:color w:val="000000"/>
          <w:sz w:val="24"/>
          <w:lang w:val="en-GB"/>
        </w:rPr>
      </w:pPr>
    </w:p>
    <w:p w14:paraId="5F9BF396" w14:textId="7FCB85CA" w:rsidR="00562F87" w:rsidRPr="00E962DB" w:rsidRDefault="003C415F" w:rsidP="00633A3E">
      <w:pPr>
        <w:spacing w:line="360" w:lineRule="auto"/>
        <w:jc w:val="both"/>
        <w:textAlignment w:val="baseline"/>
        <w:rPr>
          <w:rFonts w:ascii="Arial" w:hAnsi="Arial" w:cs="Arial"/>
          <w:color w:val="000000"/>
          <w:sz w:val="24"/>
          <w:lang w:val="en-GB"/>
        </w:rPr>
      </w:pPr>
      <w:r w:rsidRPr="00E962DB">
        <w:rPr>
          <w:noProof/>
        </w:rPr>
        <mc:AlternateContent>
          <mc:Choice Requires="wps">
            <w:drawing>
              <wp:anchor distT="0" distB="0" distL="114298" distR="114298" simplePos="0" relativeHeight="251666432" behindDoc="0" locked="0" layoutInCell="1" allowOverlap="1" wp14:anchorId="660ECC1F" wp14:editId="089CBB56">
                <wp:simplePos x="0" y="0"/>
                <wp:positionH relativeFrom="column">
                  <wp:posOffset>1041400</wp:posOffset>
                </wp:positionH>
                <wp:positionV relativeFrom="paragraph">
                  <wp:posOffset>120015</wp:posOffset>
                </wp:positionV>
                <wp:extent cx="0" cy="351155"/>
                <wp:effectExtent l="69850" t="31115" r="73025" b="17780"/>
                <wp:wrapNone/>
                <wp:docPr id="6"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51155"/>
                        </a:xfrm>
                        <a:prstGeom prst="straightConnector1">
                          <a:avLst/>
                        </a:prstGeom>
                        <a:noFill/>
                        <a:ln w="28575">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2B7E0E" id="Straight Arrow Connector 11" o:spid="_x0000_s1026" type="#_x0000_t32" style="position:absolute;margin-left:82pt;margin-top:9.45pt;width:0;height:27.65pt;flip:y;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" strokecolor="#4472c4" strokeweight="2.25pt">
                <v:stroke endarrow="block" joinstyle="miter"/>
                <o:lock v:ext="edit" shapetype="f"/>
              </v:shape>
            </w:pict>
          </mc:Fallback>
        </mc:AlternateContent>
      </w:r>
    </w:p>
    <w:p w14:paraId="7CDCAD03" w14:textId="77777777" w:rsidR="00562F87" w:rsidRPr="00E962DB" w:rsidRDefault="00562F87" w:rsidP="006759C8">
      <w:pPr>
        <w:pStyle w:val="ListParagraph"/>
        <w:numPr>
          <w:ilvl w:val="0"/>
          <w:numId w:val="6"/>
        </w:numPr>
        <w:spacing w:line="360" w:lineRule="auto"/>
        <w:jc w:val="both"/>
        <w:textAlignment w:val="baseline"/>
        <w:rPr>
          <w:rFonts w:ascii="Arial" w:hAnsi="Arial" w:cs="Arial"/>
          <w:color w:val="000000"/>
          <w:sz w:val="18"/>
          <w:szCs w:val="18"/>
          <w:lang w:val="en-GB"/>
        </w:rPr>
      </w:pPr>
      <w:r w:rsidRPr="00E962DB">
        <w:rPr>
          <w:rFonts w:ascii="Arial" w:hAnsi="Arial" w:cs="Arial"/>
          <w:color w:val="000000"/>
          <w:sz w:val="18"/>
          <w:szCs w:val="18"/>
          <w:lang w:val="en-GB"/>
        </w:rPr>
        <w:t>Collect information from Account Holders</w:t>
      </w:r>
    </w:p>
    <w:p w14:paraId="38E63F08" w14:textId="1F92209F" w:rsidR="00562F87" w:rsidRPr="00E962DB" w:rsidRDefault="003C415F" w:rsidP="00A057DD">
      <w:pPr>
        <w:spacing w:line="360" w:lineRule="auto"/>
        <w:jc w:val="both"/>
        <w:textAlignment w:val="baseline"/>
        <w:rPr>
          <w:rFonts w:ascii="Arial" w:hAnsi="Arial" w:cs="Arial"/>
          <w:color w:val="000000"/>
          <w:sz w:val="24"/>
          <w:lang w:val="en-GB"/>
        </w:rPr>
      </w:pPr>
      <w:r w:rsidRPr="00E962DB">
        <w:rPr>
          <w:noProof/>
        </w:rPr>
        <mc:AlternateContent>
          <mc:Choice Requires="wps">
            <w:drawing>
              <wp:anchor distT="0" distB="0" distL="114300" distR="114300" simplePos="0" relativeHeight="251664384" behindDoc="0" locked="0" layoutInCell="1" allowOverlap="1" wp14:anchorId="60B99D92" wp14:editId="442376D2">
                <wp:simplePos x="0" y="0"/>
                <wp:positionH relativeFrom="column">
                  <wp:posOffset>582930</wp:posOffset>
                </wp:positionH>
                <wp:positionV relativeFrom="paragraph">
                  <wp:posOffset>408940</wp:posOffset>
                </wp:positionV>
                <wp:extent cx="1367155" cy="397510"/>
                <wp:effectExtent l="11430" t="8255" r="12065" b="133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397510"/>
                        </a:xfrm>
                        <a:prstGeom prst="rect">
                          <a:avLst/>
                        </a:prstGeom>
                        <a:solidFill>
                          <a:srgbClr val="FFFFFF"/>
                        </a:solidFill>
                        <a:ln w="12700">
                          <a:solidFill>
                            <a:srgbClr val="000000"/>
                          </a:solidFill>
                          <a:miter lim="800000"/>
                          <a:headEnd/>
                          <a:tailEnd/>
                        </a:ln>
                      </wps:spPr>
                      <wps:txbx>
                        <w:txbxContent>
                          <w:p w14:paraId="339E0329" w14:textId="77777777" w:rsidR="00744D35" w:rsidRPr="008B52E7" w:rsidRDefault="00744D35" w:rsidP="00644F6F">
                            <w:pPr>
                              <w:jc w:val="center"/>
                              <w:rPr>
                                <w:rFonts w:ascii="Arial" w:hAnsi="Arial" w:cs="Arial"/>
                                <w:b/>
                                <w:sz w:val="18"/>
                                <w:szCs w:val="18"/>
                              </w:rPr>
                            </w:pPr>
                            <w:r>
                              <w:rPr>
                                <w:rFonts w:ascii="Arial" w:hAnsi="Arial" w:cs="Arial"/>
                                <w:b/>
                                <w:sz w:val="18"/>
                                <w:szCs w:val="18"/>
                              </w:rPr>
                              <w:t>Account Holders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B99D92" id="Rectangle 10" o:spid="_x0000_s1029" style="position:absolute;left:0;text-align:left;margin-left:45.9pt;margin-top:32.2pt;width:107.6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" strokeweight="1pt">
                <v:path arrowok="t"/>
                <v:textbox>
                  <w:txbxContent>
                    <w:p w14:paraId="339E0329" w14:textId="77777777" w:rsidR="00744D35" w:rsidRPr="008B52E7" w:rsidRDefault="00744D35" w:rsidP="00644F6F">
                      <w:pPr>
                        <w:jc w:val="center"/>
                        <w:rPr>
                          <w:rFonts w:ascii="Arial" w:hAnsi="Arial" w:cs="Arial"/>
                          <w:b/>
                          <w:sz w:val="18"/>
                          <w:szCs w:val="18"/>
                        </w:rPr>
                      </w:pPr>
                      <w:r>
                        <w:rPr>
                          <w:rFonts w:ascii="Arial" w:hAnsi="Arial" w:cs="Arial"/>
                          <w:b/>
                          <w:sz w:val="18"/>
                          <w:szCs w:val="18"/>
                        </w:rPr>
                        <w:t>Account Holders</w:t>
                      </w:r>
                    </w:p>
                  </w:txbxContent>
                </v:textbox>
              </v:rect>
            </w:pict>
          </mc:Fallback>
        </mc:AlternateContent>
      </w:r>
      <w:r w:rsidRPr="00E962DB">
        <w:rPr>
          <w:noProof/>
        </w:rPr>
        <mc:AlternateContent>
          <mc:Choice Requires="wps">
            <w:drawing>
              <wp:anchor distT="0" distB="0" distL="114300" distR="114300" simplePos="0" relativeHeight="251662336" behindDoc="0" locked="0" layoutInCell="1" allowOverlap="1" wp14:anchorId="4BDEE1D9" wp14:editId="046826EF">
                <wp:simplePos x="0" y="0"/>
                <wp:positionH relativeFrom="column">
                  <wp:posOffset>430530</wp:posOffset>
                </wp:positionH>
                <wp:positionV relativeFrom="paragraph">
                  <wp:posOffset>256540</wp:posOffset>
                </wp:positionV>
                <wp:extent cx="1367155" cy="397510"/>
                <wp:effectExtent l="11430" t="8255" r="12065" b="1333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397510"/>
                        </a:xfrm>
                        <a:prstGeom prst="rect">
                          <a:avLst/>
                        </a:prstGeom>
                        <a:solidFill>
                          <a:srgbClr val="FFFFFF"/>
                        </a:solidFill>
                        <a:ln w="12700">
                          <a:solidFill>
                            <a:srgbClr val="000000"/>
                          </a:solidFill>
                          <a:miter lim="800000"/>
                          <a:headEnd/>
                          <a:tailEnd/>
                        </a:ln>
                      </wps:spPr>
                      <wps:txbx>
                        <w:txbxContent>
                          <w:p w14:paraId="2A957250" w14:textId="77777777" w:rsidR="00744D35" w:rsidRPr="008B52E7" w:rsidRDefault="00744D35" w:rsidP="00644F6F">
                            <w:pPr>
                              <w:jc w:val="center"/>
                              <w:rPr>
                                <w:rFonts w:ascii="Arial" w:hAnsi="Arial" w:cs="Arial"/>
                                <w:b/>
                                <w:sz w:val="18"/>
                                <w:szCs w:val="18"/>
                              </w:rPr>
                            </w:pPr>
                            <w:r>
                              <w:rPr>
                                <w:rFonts w:ascii="Arial" w:hAnsi="Arial" w:cs="Arial"/>
                                <w:b/>
                                <w:sz w:val="18"/>
                                <w:szCs w:val="18"/>
                              </w:rPr>
                              <w:t>Account Holders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EE1D9" id="Rectangle 9" o:spid="_x0000_s1030" style="position:absolute;left:0;text-align:left;margin-left:33.9pt;margin-top:20.2pt;width:107.65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" strokeweight="1pt">
                <v:path arrowok="t"/>
                <v:textbox>
                  <w:txbxContent>
                    <w:p w14:paraId="2A957250" w14:textId="77777777" w:rsidR="00744D35" w:rsidRPr="008B52E7" w:rsidRDefault="00744D35" w:rsidP="00644F6F">
                      <w:pPr>
                        <w:jc w:val="center"/>
                        <w:rPr>
                          <w:rFonts w:ascii="Arial" w:hAnsi="Arial" w:cs="Arial"/>
                          <w:b/>
                          <w:sz w:val="18"/>
                          <w:szCs w:val="18"/>
                        </w:rPr>
                      </w:pPr>
                      <w:r>
                        <w:rPr>
                          <w:rFonts w:ascii="Arial" w:hAnsi="Arial" w:cs="Arial"/>
                          <w:b/>
                          <w:sz w:val="18"/>
                          <w:szCs w:val="18"/>
                        </w:rPr>
                        <w:t>Account Holders</w:t>
                      </w:r>
                    </w:p>
                  </w:txbxContent>
                </v:textbox>
              </v:rect>
            </w:pict>
          </mc:Fallback>
        </mc:AlternateContent>
      </w:r>
      <w:r w:rsidRPr="00E962DB">
        <w:rPr>
          <w:noProof/>
        </w:rPr>
        <mc:AlternateContent>
          <mc:Choice Requires="wps">
            <w:drawing>
              <wp:anchor distT="0" distB="0" distL="114300" distR="114300" simplePos="0" relativeHeight="251660288" behindDoc="0" locked="0" layoutInCell="1" allowOverlap="1" wp14:anchorId="408B2CAE" wp14:editId="4695807B">
                <wp:simplePos x="0" y="0"/>
                <wp:positionH relativeFrom="column">
                  <wp:posOffset>278130</wp:posOffset>
                </wp:positionH>
                <wp:positionV relativeFrom="paragraph">
                  <wp:posOffset>104140</wp:posOffset>
                </wp:positionV>
                <wp:extent cx="1367155" cy="397510"/>
                <wp:effectExtent l="11430" t="8255" r="1206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155" cy="397510"/>
                        </a:xfrm>
                        <a:prstGeom prst="rect">
                          <a:avLst/>
                        </a:prstGeom>
                        <a:solidFill>
                          <a:srgbClr val="FFFFFF"/>
                        </a:solidFill>
                        <a:ln w="12700">
                          <a:solidFill>
                            <a:srgbClr val="000000"/>
                          </a:solidFill>
                          <a:miter lim="800000"/>
                          <a:headEnd/>
                          <a:tailEnd/>
                        </a:ln>
                      </wps:spPr>
                      <wps:txbx>
                        <w:txbxContent>
                          <w:p w14:paraId="736027C5" w14:textId="77777777" w:rsidR="00744D35" w:rsidRPr="008B52E7" w:rsidRDefault="00744D35" w:rsidP="00644F6F">
                            <w:pPr>
                              <w:jc w:val="center"/>
                              <w:rPr>
                                <w:rFonts w:ascii="Arial" w:hAnsi="Arial" w:cs="Arial"/>
                                <w:b/>
                                <w:sz w:val="18"/>
                                <w:szCs w:val="18"/>
                              </w:rPr>
                            </w:pPr>
                            <w:r>
                              <w:rPr>
                                <w:rFonts w:ascii="Arial" w:hAnsi="Arial" w:cs="Arial"/>
                                <w:b/>
                                <w:sz w:val="18"/>
                                <w:szCs w:val="18"/>
                              </w:rPr>
                              <w:t>Account Holders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8B2CAE" id="Rectangle 5" o:spid="_x0000_s1031" style="position:absolute;left:0;text-align:left;margin-left:21.9pt;margin-top:8.2pt;width:107.6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" strokeweight="1pt">
                <v:path arrowok="t"/>
                <v:textbox>
                  <w:txbxContent>
                    <w:p w14:paraId="736027C5" w14:textId="77777777" w:rsidR="00744D35" w:rsidRPr="008B52E7" w:rsidRDefault="00744D35" w:rsidP="00644F6F">
                      <w:pPr>
                        <w:jc w:val="center"/>
                        <w:rPr>
                          <w:rFonts w:ascii="Arial" w:hAnsi="Arial" w:cs="Arial"/>
                          <w:b/>
                          <w:sz w:val="18"/>
                          <w:szCs w:val="18"/>
                        </w:rPr>
                      </w:pPr>
                      <w:r>
                        <w:rPr>
                          <w:rFonts w:ascii="Arial" w:hAnsi="Arial" w:cs="Arial"/>
                          <w:b/>
                          <w:sz w:val="18"/>
                          <w:szCs w:val="18"/>
                        </w:rPr>
                        <w:t>Account Holders</w:t>
                      </w:r>
                    </w:p>
                  </w:txbxContent>
                </v:textbox>
              </v:rect>
            </w:pict>
          </mc:Fallback>
        </mc:AlternateContent>
      </w:r>
    </w:p>
    <w:p w14:paraId="740CE1F5"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2D455BDB"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58E1B11B"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65543CC3"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6BABEA84" w14:textId="77777777" w:rsidR="00562F87" w:rsidRPr="00E962DB" w:rsidRDefault="00562F87" w:rsidP="00065CD7">
      <w:pPr>
        <w:pStyle w:val="Heading2"/>
        <w:keepNext/>
        <w:numPr>
          <w:ilvl w:val="0"/>
          <w:numId w:val="22"/>
        </w:numPr>
        <w:rPr>
          <w:lang w:val="en-GB"/>
        </w:rPr>
      </w:pPr>
      <w:bookmarkStart w:id="12" w:name="_Toc492290964"/>
      <w:r w:rsidRPr="00E962DB">
        <w:rPr>
          <w:lang w:val="en-GB"/>
        </w:rPr>
        <w:t>Client Privacy and Data Protection</w:t>
      </w:r>
      <w:bookmarkEnd w:id="12"/>
      <w:r w:rsidRPr="00E962DB">
        <w:rPr>
          <w:lang w:val="en-GB"/>
        </w:rPr>
        <w:t xml:space="preserve"> </w:t>
      </w:r>
    </w:p>
    <w:p w14:paraId="3D50B673" w14:textId="77777777" w:rsidR="00562F87" w:rsidRPr="00E962DB" w:rsidRDefault="00562F87" w:rsidP="00370C9D">
      <w:pPr>
        <w:spacing w:after="5" w:line="369" w:lineRule="auto"/>
        <w:ind w:left="-5" w:right="8" w:hanging="10"/>
        <w:jc w:val="both"/>
        <w:rPr>
          <w:rFonts w:ascii="Arial" w:hAnsi="Arial" w:cs="Arial"/>
          <w:color w:val="000000"/>
          <w:sz w:val="24"/>
          <w:lang w:val="en-GB"/>
        </w:rPr>
      </w:pPr>
      <w:r w:rsidRPr="00E962DB">
        <w:rPr>
          <w:rFonts w:ascii="Arial" w:hAnsi="Arial" w:cs="Arial"/>
          <w:color w:val="000000"/>
          <w:sz w:val="24"/>
          <w:lang w:val="en-GB"/>
        </w:rPr>
        <w:t xml:space="preserve">The Bahamas will not exchange information under CRS until it is satisfied that a Reportable Jurisdiction has in place, adequate privacy and data protection measures in accordance with OECD standards.  This latter requirement is to ensure that the required confidentiality and data safeguards are met by the Reportable Jurisdiction that The Bahamas is intended to exchange information with. </w:t>
      </w:r>
    </w:p>
    <w:p w14:paraId="5C743437" w14:textId="77777777" w:rsidR="00562F87" w:rsidRPr="00E962DB" w:rsidRDefault="00562F87" w:rsidP="00370C9D">
      <w:pPr>
        <w:spacing w:after="5" w:line="369" w:lineRule="auto"/>
        <w:ind w:left="-5" w:right="8" w:hanging="10"/>
        <w:jc w:val="both"/>
        <w:rPr>
          <w:rFonts w:ascii="Arial" w:hAnsi="Arial" w:cs="Arial"/>
          <w:color w:val="000000"/>
          <w:sz w:val="24"/>
          <w:lang w:val="en-GB"/>
        </w:rPr>
      </w:pPr>
    </w:p>
    <w:p w14:paraId="71040508" w14:textId="68370464" w:rsidR="00562F87" w:rsidRPr="00E962DB" w:rsidRDefault="00562F87" w:rsidP="00370C9D">
      <w:pPr>
        <w:spacing w:after="5" w:line="369" w:lineRule="auto"/>
        <w:ind w:left="-5" w:right="8" w:hanging="10"/>
        <w:jc w:val="both"/>
      </w:pPr>
      <w:r w:rsidRPr="00E962DB">
        <w:rPr>
          <w:rFonts w:ascii="Arial" w:hAnsi="Arial" w:cs="Arial"/>
          <w:sz w:val="24"/>
        </w:rPr>
        <w:t xml:space="preserve">These confidentiality obligations are evaluated by the Global Forum on Transparency and Exchange of Information for Tax Purposes through its implementation monitoring programme. Confidentiality and data safeguard questionnaires and reports for all CRS jurisdictions (Annex 4 of the CRS) are filed with the Global Forum and are made available to the relevant tax officials of all Participating Jurisdictions.   </w:t>
      </w:r>
    </w:p>
    <w:p w14:paraId="4242090E" w14:textId="77777777" w:rsidR="00562F87" w:rsidRPr="00E962DB" w:rsidRDefault="00562F87" w:rsidP="00A537A8">
      <w:pPr>
        <w:spacing w:line="360" w:lineRule="auto"/>
        <w:jc w:val="both"/>
        <w:textAlignment w:val="baseline"/>
        <w:rPr>
          <w:rFonts w:ascii="Arial" w:hAnsi="Arial" w:cs="Arial"/>
          <w:color w:val="000000"/>
          <w:sz w:val="24"/>
          <w:lang w:val="en-GB"/>
        </w:rPr>
      </w:pPr>
    </w:p>
    <w:p w14:paraId="7A622F61" w14:textId="77777777" w:rsidR="00562F87" w:rsidRPr="00E962DB" w:rsidRDefault="00562F87" w:rsidP="00DD0B39">
      <w:pPr>
        <w:pStyle w:val="Heading2"/>
        <w:keepNext/>
        <w:rPr>
          <w:b w:val="0"/>
          <w:lang w:val="en-GB"/>
        </w:rPr>
      </w:pPr>
      <w:r w:rsidRPr="00E962DB">
        <w:rPr>
          <w:b w:val="0"/>
          <w:color w:val="000000"/>
          <w:sz w:val="24"/>
          <w:lang w:val="en-GB"/>
        </w:rPr>
        <w:t xml:space="preserve">Where client confidentiality is breached or there is reason to believe that data which has been exchanged is being used for purposes other than which it was provided to the Competent Authority of the reportable jurisdiction, the agreement for automatic exchange will be subject to review. </w:t>
      </w:r>
    </w:p>
    <w:p w14:paraId="23C09F84" w14:textId="77777777" w:rsidR="00562F87" w:rsidRPr="00E962DB" w:rsidRDefault="00562F87" w:rsidP="00065CD7">
      <w:pPr>
        <w:pStyle w:val="Heading2"/>
        <w:numPr>
          <w:ilvl w:val="0"/>
          <w:numId w:val="22"/>
        </w:numPr>
        <w:rPr>
          <w:lang w:val="en-GB"/>
        </w:rPr>
      </w:pPr>
      <w:bookmarkStart w:id="13" w:name="_Toc492290965"/>
      <w:r w:rsidRPr="00E962DB">
        <w:rPr>
          <w:lang w:val="en-GB"/>
        </w:rPr>
        <w:t>Reporting to the Tax Information Authority</w:t>
      </w:r>
      <w:bookmarkEnd w:id="13"/>
    </w:p>
    <w:p w14:paraId="2FB4476C" w14:textId="77777777" w:rsidR="00562F87" w:rsidRPr="00E962DB" w:rsidRDefault="00562F87" w:rsidP="00A057DD">
      <w:pPr>
        <w:spacing w:line="360" w:lineRule="auto"/>
        <w:textAlignment w:val="baseline"/>
        <w:rPr>
          <w:rFonts w:ascii="Arial" w:hAnsi="Arial" w:cs="Arial"/>
          <w:color w:val="0000FF"/>
          <w:sz w:val="24"/>
          <w:u w:val="single"/>
          <w:lang w:val="en-GB"/>
        </w:rPr>
      </w:pPr>
      <w:r w:rsidRPr="00E962DB">
        <w:rPr>
          <w:rFonts w:ascii="Arial" w:hAnsi="Arial" w:cs="Arial"/>
          <w:color w:val="000000"/>
          <w:spacing w:val="3"/>
          <w:sz w:val="24"/>
          <w:lang w:val="en-GB"/>
        </w:rPr>
        <w:t xml:space="preserve">Reporting for CRS will be conducted through The Bahamas AEOI Portal, available at </w:t>
      </w:r>
      <w:hyperlink r:id="rId17" w:history="1">
        <w:r w:rsidRPr="00E962DB">
          <w:rPr>
            <w:rStyle w:val="Hyperlink"/>
            <w:rFonts w:ascii="Arial" w:hAnsi="Arial" w:cs="Arial"/>
            <w:spacing w:val="3"/>
            <w:sz w:val="24"/>
            <w:lang w:val="en-GB"/>
          </w:rPr>
          <w:t>www.taxreporting.finance.gov.bs</w:t>
        </w:r>
      </w:hyperlink>
      <w:r w:rsidRPr="00E962DB">
        <w:rPr>
          <w:rFonts w:ascii="Arial" w:hAnsi="Arial" w:cs="Arial"/>
          <w:color w:val="000000"/>
          <w:spacing w:val="3"/>
          <w:sz w:val="24"/>
          <w:lang w:val="en-GB"/>
        </w:rPr>
        <w:t xml:space="preserve">. </w:t>
      </w:r>
    </w:p>
    <w:p w14:paraId="3224C41D" w14:textId="77777777" w:rsidR="00562F87" w:rsidRPr="00E962DB" w:rsidRDefault="00562F87" w:rsidP="00A057DD">
      <w:pPr>
        <w:spacing w:line="360" w:lineRule="auto"/>
        <w:textAlignment w:val="baseline"/>
        <w:rPr>
          <w:rFonts w:ascii="Arial" w:hAnsi="Arial" w:cs="Arial"/>
          <w:color w:val="000000"/>
          <w:sz w:val="24"/>
          <w:lang w:val="en-GB"/>
        </w:rPr>
      </w:pPr>
    </w:p>
    <w:p w14:paraId="47846A1F" w14:textId="77777777" w:rsidR="00562F87" w:rsidRPr="00E962DB" w:rsidRDefault="00562F87" w:rsidP="00633A3E">
      <w:pPr>
        <w:spacing w:line="360" w:lineRule="auto"/>
        <w:jc w:val="both"/>
        <w:textAlignment w:val="baseline"/>
        <w:rPr>
          <w:rFonts w:ascii="Arial" w:hAnsi="Arial" w:cs="Arial"/>
          <w:color w:val="000000"/>
          <w:spacing w:val="3"/>
          <w:sz w:val="24"/>
          <w:lang w:val="en-GB"/>
        </w:rPr>
      </w:pPr>
      <w:r w:rsidRPr="00E962DB">
        <w:rPr>
          <w:rFonts w:ascii="Arial" w:hAnsi="Arial" w:cs="Arial"/>
          <w:color w:val="000000"/>
          <w:spacing w:val="3"/>
          <w:sz w:val="24"/>
          <w:lang w:val="en-GB"/>
        </w:rPr>
        <w:t xml:space="preserve">The following figure depicts the different steps for reporting of information by Bahamian </w:t>
      </w:r>
      <w:r w:rsidRPr="00E962DB">
        <w:rPr>
          <w:rFonts w:ascii="Arial" w:hAnsi="Arial" w:cs="Arial"/>
          <w:color w:val="000000"/>
          <w:sz w:val="24"/>
          <w:lang w:val="en-GB"/>
        </w:rPr>
        <w:t>Reporting Financial Institutions</w:t>
      </w:r>
      <w:r w:rsidRPr="00E962DB">
        <w:rPr>
          <w:rFonts w:ascii="Arial" w:hAnsi="Arial" w:cs="Arial"/>
          <w:color w:val="000000"/>
          <w:spacing w:val="3"/>
          <w:sz w:val="24"/>
          <w:lang w:val="en-GB"/>
        </w:rPr>
        <w:t xml:space="preserve"> under CRS to The Bahamas Competent Authority.</w:t>
      </w:r>
    </w:p>
    <w:p w14:paraId="3DE7FC15" w14:textId="77777777" w:rsidR="00562F87" w:rsidRPr="00E962DB" w:rsidRDefault="00562F87" w:rsidP="00633A3E">
      <w:pPr>
        <w:spacing w:line="360" w:lineRule="auto"/>
        <w:textAlignment w:val="baseline"/>
        <w:rPr>
          <w:rFonts w:ascii="Arial" w:hAnsi="Arial" w:cs="Arial"/>
          <w:color w:val="000000"/>
          <w:spacing w:val="3"/>
          <w:sz w:val="24"/>
          <w:lang w:val="en-GB"/>
        </w:rPr>
      </w:pPr>
    </w:p>
    <w:p w14:paraId="07BE7CC9" w14:textId="66AB240A" w:rsidR="00562F87" w:rsidRPr="00E962DB" w:rsidRDefault="003C415F" w:rsidP="00A537A8">
      <w:pPr>
        <w:spacing w:line="360" w:lineRule="auto"/>
        <w:jc w:val="center"/>
        <w:textAlignment w:val="baseline"/>
        <w:rPr>
          <w:rFonts w:ascii="Arial" w:hAnsi="Arial" w:cs="Arial"/>
          <w:b/>
          <w:color w:val="000000"/>
          <w:spacing w:val="3"/>
          <w:sz w:val="24"/>
          <w:lang w:val="en-GB"/>
        </w:rPr>
      </w:pPr>
      <w:r w:rsidRPr="00E962DB">
        <w:rPr>
          <w:rFonts w:ascii="Arial" w:hAnsi="Arial" w:cs="Arial"/>
          <w:b/>
          <w:noProof/>
          <w:color w:val="000000"/>
          <w:spacing w:val="3"/>
          <w:sz w:val="24"/>
        </w:rPr>
        <w:drawing>
          <wp:inline distT="0" distB="0" distL="0" distR="0" wp14:anchorId="363DE9CD" wp14:editId="01A65F85">
            <wp:extent cx="3305175" cy="27241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5175" cy="2724150"/>
                    </a:xfrm>
                    <a:prstGeom prst="rect">
                      <a:avLst/>
                    </a:prstGeom>
                    <a:noFill/>
                    <a:ln>
                      <a:noFill/>
                    </a:ln>
                  </pic:spPr>
                </pic:pic>
              </a:graphicData>
            </a:graphic>
          </wp:inline>
        </w:drawing>
      </w:r>
    </w:p>
    <w:p w14:paraId="4DFC5BA4" w14:textId="2616200A" w:rsidR="00207F68" w:rsidRPr="00E962DB" w:rsidRDefault="00207F68" w:rsidP="009E7161">
      <w:pPr>
        <w:rPr>
          <w:lang w:val="en-GB"/>
        </w:rPr>
      </w:pPr>
    </w:p>
    <w:p w14:paraId="74DC8F57" w14:textId="77777777" w:rsidR="00562F87" w:rsidRPr="00E962DB" w:rsidRDefault="00562F87" w:rsidP="009E7161">
      <w:pPr>
        <w:rPr>
          <w:lang w:val="en-GB"/>
        </w:rPr>
      </w:pPr>
    </w:p>
    <w:p w14:paraId="4C73F970" w14:textId="77777777" w:rsidR="00562F87" w:rsidRPr="00E962DB" w:rsidRDefault="00562F87" w:rsidP="009B2388">
      <w:pPr>
        <w:pStyle w:val="Heading1"/>
        <w:keepNext/>
        <w:numPr>
          <w:ilvl w:val="0"/>
          <w:numId w:val="24"/>
        </w:numPr>
        <w:ind w:left="0" w:firstLine="0"/>
        <w:jc w:val="center"/>
        <w:rPr>
          <w:lang w:val="en-GB"/>
        </w:rPr>
      </w:pPr>
      <w:bookmarkStart w:id="14" w:name="_Toc492290966"/>
      <w:r w:rsidRPr="00E962DB">
        <w:rPr>
          <w:lang w:val="en-GB"/>
        </w:rPr>
        <w:t>CRS DUE DILIGENCE AND REPORTING OBLIGATIONS</w:t>
      </w:r>
      <w:bookmarkEnd w:id="14"/>
      <w:r w:rsidRPr="00E962DB">
        <w:rPr>
          <w:lang w:val="en-GB"/>
        </w:rPr>
        <w:t xml:space="preserve"> </w:t>
      </w:r>
    </w:p>
    <w:p w14:paraId="183508D8" w14:textId="77777777" w:rsidR="00562F87" w:rsidRPr="00E962DB" w:rsidRDefault="00562F87" w:rsidP="009E7161">
      <w:pPr>
        <w:rPr>
          <w:lang w:val="en-GB"/>
        </w:rPr>
      </w:pPr>
    </w:p>
    <w:p w14:paraId="45A10110" w14:textId="77777777" w:rsidR="00562F87" w:rsidRPr="00E962DB" w:rsidRDefault="00562F87" w:rsidP="00731D88">
      <w:pPr>
        <w:pStyle w:val="Heading2"/>
        <w:numPr>
          <w:ilvl w:val="0"/>
          <w:numId w:val="32"/>
        </w:numPr>
        <w:rPr>
          <w:sz w:val="28"/>
          <w:lang w:val="en-GB"/>
        </w:rPr>
      </w:pPr>
      <w:bookmarkStart w:id="15" w:name="_Toc492290967"/>
      <w:r w:rsidRPr="00E962DB">
        <w:rPr>
          <w:lang w:val="en-GB"/>
        </w:rPr>
        <w:t>Reporting</w:t>
      </w:r>
      <w:bookmarkEnd w:id="15"/>
    </w:p>
    <w:p w14:paraId="4CB29E4D" w14:textId="77777777" w:rsidR="00562F87" w:rsidRPr="00E962DB" w:rsidRDefault="00562F87" w:rsidP="009B2388">
      <w:pPr>
        <w:spacing w:line="360" w:lineRule="auto"/>
        <w:jc w:val="both"/>
        <w:textAlignment w:val="baseline"/>
        <w:rPr>
          <w:rFonts w:ascii="Arial" w:hAnsi="Arial" w:cs="Arial"/>
          <w:sz w:val="24"/>
          <w:lang w:val="en-GB"/>
        </w:rPr>
      </w:pPr>
      <w:r w:rsidRPr="00E962DB">
        <w:rPr>
          <w:rFonts w:ascii="Arial" w:hAnsi="Arial" w:cs="Arial"/>
          <w:sz w:val="24"/>
          <w:lang w:val="en-GB"/>
        </w:rPr>
        <w:t>The first reporting date for CRS by The Bahamas Competent Authority is 30 September 2018. In order to enable The Bahamas Competent Authority to report by the reporting due date, Reporting Financial Institutions will be required to report with respect to accounts held or controlled by Reportable Persons to The Bahamas Competent Authority by 31 July 2018.</w:t>
      </w:r>
    </w:p>
    <w:p w14:paraId="7B6FC17E" w14:textId="77777777" w:rsidR="00562F87" w:rsidRPr="00E962DB" w:rsidRDefault="00562F87" w:rsidP="00B95B16">
      <w:pPr>
        <w:jc w:val="both"/>
        <w:textAlignment w:val="baseline"/>
        <w:rPr>
          <w:rFonts w:ascii="Arial" w:hAnsi="Arial" w:cs="Arial"/>
          <w:sz w:val="24"/>
          <w:lang w:val="en-GB"/>
        </w:rPr>
      </w:pPr>
    </w:p>
    <w:p w14:paraId="095EF098" w14:textId="77777777" w:rsidR="00562F87" w:rsidRPr="00E962DB" w:rsidRDefault="00562F87" w:rsidP="009B2388">
      <w:pPr>
        <w:spacing w:line="360" w:lineRule="auto"/>
        <w:jc w:val="both"/>
        <w:textAlignment w:val="baseline"/>
        <w:rPr>
          <w:rFonts w:ascii="Arial" w:hAnsi="Arial" w:cs="Arial"/>
          <w:sz w:val="24"/>
          <w:lang w:val="en-GB"/>
        </w:rPr>
      </w:pPr>
      <w:r w:rsidRPr="00E962DB">
        <w:rPr>
          <w:rFonts w:ascii="Arial" w:hAnsi="Arial" w:cs="Arial"/>
          <w:sz w:val="24"/>
          <w:lang w:val="en-GB"/>
        </w:rPr>
        <w:t>Reporting is an annual event. The Bahamas Competent Authority will report on 30 September of the year following each reporting period. Reporting Financial Institutions will be expected to report to The Bahamas Competent Authority by 31 July of the year following each reporting period.</w:t>
      </w:r>
    </w:p>
    <w:p w14:paraId="1A40A766" w14:textId="77777777" w:rsidR="00562F87" w:rsidRPr="00E962DB" w:rsidRDefault="00562F87" w:rsidP="009B2388">
      <w:pPr>
        <w:spacing w:line="360" w:lineRule="auto"/>
        <w:jc w:val="both"/>
        <w:textAlignment w:val="baseline"/>
        <w:rPr>
          <w:rFonts w:ascii="Arial" w:hAnsi="Arial" w:cs="Arial"/>
          <w:sz w:val="24"/>
          <w:lang w:val="en-GB"/>
        </w:rPr>
      </w:pPr>
    </w:p>
    <w:p w14:paraId="3D62C607" w14:textId="77777777" w:rsidR="00562F87" w:rsidRPr="00E962DB" w:rsidRDefault="00562F87" w:rsidP="009B2388">
      <w:pPr>
        <w:spacing w:line="360" w:lineRule="auto"/>
        <w:jc w:val="both"/>
        <w:textAlignment w:val="baseline"/>
        <w:rPr>
          <w:rFonts w:ascii="Arial" w:hAnsi="Arial" w:cs="Arial"/>
          <w:sz w:val="24"/>
          <w:lang w:val="en-GB"/>
        </w:rPr>
      </w:pPr>
      <w:r w:rsidRPr="00E962DB">
        <w:rPr>
          <w:rFonts w:ascii="Arial" w:hAnsi="Arial" w:cs="Arial"/>
          <w:sz w:val="24"/>
          <w:lang w:val="en-GB"/>
        </w:rPr>
        <w:t>The information required to be reported by financial institutions in accordance with CRS in respect of each reporting year ending 31 December shall be as follows:</w:t>
      </w:r>
    </w:p>
    <w:p w14:paraId="1153C972" w14:textId="77777777" w:rsidR="00562F87" w:rsidRPr="00E962DB" w:rsidRDefault="00562F87" w:rsidP="00065CD7">
      <w:pPr>
        <w:keepNext/>
        <w:jc w:val="both"/>
        <w:textAlignment w:val="baseline"/>
        <w:rPr>
          <w:rFonts w:ascii="Arial" w:hAnsi="Arial" w:cs="Arial"/>
          <w:sz w:val="24"/>
          <w:lang w:val="en-GB"/>
        </w:rPr>
      </w:pPr>
    </w:p>
    <w:tbl>
      <w:tblPr>
        <w:tblW w:w="9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5"/>
        <w:gridCol w:w="4325"/>
        <w:gridCol w:w="1350"/>
        <w:gridCol w:w="1525"/>
      </w:tblGrid>
      <w:tr w:rsidR="00562F87" w:rsidRPr="00E962DB" w14:paraId="6A396377" w14:textId="77777777" w:rsidTr="00497652">
        <w:tc>
          <w:tcPr>
            <w:tcW w:w="2785" w:type="dxa"/>
          </w:tcPr>
          <w:p w14:paraId="5663D827" w14:textId="77777777" w:rsidR="00562F87" w:rsidRPr="00E962DB" w:rsidRDefault="00562F87" w:rsidP="00EF6A40">
            <w:pPr>
              <w:rPr>
                <w:rFonts w:ascii="Arial" w:hAnsi="Arial" w:cs="Arial"/>
                <w:b/>
                <w:sz w:val="20"/>
                <w:szCs w:val="20"/>
              </w:rPr>
            </w:pPr>
            <w:bookmarkStart w:id="16" w:name="_Toc471915143"/>
            <w:bookmarkStart w:id="17" w:name="_Toc486250844"/>
            <w:bookmarkStart w:id="18" w:name="_Toc486253562"/>
            <w:bookmarkStart w:id="19" w:name="_Toc486254389"/>
            <w:bookmarkStart w:id="20" w:name="_Toc486254661"/>
            <w:bookmarkStart w:id="21" w:name="_Toc486255668"/>
            <w:bookmarkStart w:id="22" w:name="_Toc486329095"/>
            <w:r w:rsidRPr="00E962DB">
              <w:rPr>
                <w:rFonts w:ascii="Arial" w:hAnsi="Arial" w:cs="Arial"/>
                <w:b/>
                <w:sz w:val="20"/>
                <w:szCs w:val="20"/>
              </w:rPr>
              <w:t>Relevant Account</w:t>
            </w:r>
            <w:bookmarkEnd w:id="16"/>
            <w:bookmarkEnd w:id="17"/>
            <w:bookmarkEnd w:id="18"/>
            <w:bookmarkEnd w:id="19"/>
            <w:bookmarkEnd w:id="20"/>
            <w:bookmarkEnd w:id="21"/>
            <w:bookmarkEnd w:id="22"/>
          </w:p>
        </w:tc>
        <w:tc>
          <w:tcPr>
            <w:tcW w:w="4325" w:type="dxa"/>
          </w:tcPr>
          <w:p w14:paraId="4F6843C8" w14:textId="77777777" w:rsidR="00562F87" w:rsidRPr="00E962DB" w:rsidRDefault="00562F87" w:rsidP="00EF6A40">
            <w:pPr>
              <w:rPr>
                <w:rFonts w:ascii="Arial" w:hAnsi="Arial" w:cs="Arial"/>
                <w:b/>
                <w:sz w:val="20"/>
                <w:szCs w:val="20"/>
              </w:rPr>
            </w:pPr>
            <w:bookmarkStart w:id="23" w:name="_Toc471915144"/>
            <w:bookmarkStart w:id="24" w:name="_Toc486250845"/>
            <w:bookmarkStart w:id="25" w:name="_Toc486253563"/>
            <w:bookmarkStart w:id="26" w:name="_Toc486254390"/>
            <w:bookmarkStart w:id="27" w:name="_Toc486254662"/>
            <w:bookmarkStart w:id="28" w:name="_Toc486255669"/>
            <w:bookmarkStart w:id="29" w:name="_Toc486329096"/>
            <w:r w:rsidRPr="00E962DB">
              <w:rPr>
                <w:rFonts w:ascii="Arial" w:hAnsi="Arial" w:cs="Arial"/>
                <w:b/>
                <w:sz w:val="20"/>
                <w:szCs w:val="20"/>
              </w:rPr>
              <w:t>Information to be reported</w:t>
            </w:r>
            <w:bookmarkEnd w:id="23"/>
            <w:bookmarkEnd w:id="24"/>
            <w:bookmarkEnd w:id="25"/>
            <w:bookmarkEnd w:id="26"/>
            <w:bookmarkEnd w:id="27"/>
            <w:bookmarkEnd w:id="28"/>
            <w:bookmarkEnd w:id="29"/>
          </w:p>
        </w:tc>
        <w:tc>
          <w:tcPr>
            <w:tcW w:w="1350" w:type="dxa"/>
          </w:tcPr>
          <w:p w14:paraId="6DFD33E8" w14:textId="77777777" w:rsidR="00562F87" w:rsidRPr="00E962DB" w:rsidRDefault="00562F87" w:rsidP="00EF6A40">
            <w:pPr>
              <w:rPr>
                <w:rFonts w:ascii="Arial" w:hAnsi="Arial" w:cs="Arial"/>
                <w:b/>
                <w:sz w:val="20"/>
                <w:szCs w:val="20"/>
              </w:rPr>
            </w:pPr>
            <w:bookmarkStart w:id="30" w:name="_Toc471915145"/>
            <w:bookmarkStart w:id="31" w:name="_Toc486250846"/>
            <w:bookmarkStart w:id="32" w:name="_Toc486253564"/>
            <w:bookmarkStart w:id="33" w:name="_Toc486254391"/>
            <w:bookmarkStart w:id="34" w:name="_Toc486254663"/>
            <w:bookmarkStart w:id="35" w:name="_Toc486255670"/>
            <w:bookmarkStart w:id="36" w:name="_Toc486329097"/>
            <w:bookmarkEnd w:id="30"/>
            <w:r w:rsidRPr="00E962DB">
              <w:rPr>
                <w:rFonts w:ascii="Arial" w:hAnsi="Arial" w:cs="Arial"/>
                <w:b/>
                <w:sz w:val="20"/>
                <w:szCs w:val="20"/>
              </w:rPr>
              <w:t>Reporting due date for Reporting Financial Institutions</w:t>
            </w:r>
            <w:bookmarkEnd w:id="31"/>
            <w:bookmarkEnd w:id="32"/>
            <w:bookmarkEnd w:id="33"/>
            <w:bookmarkEnd w:id="34"/>
            <w:bookmarkEnd w:id="35"/>
            <w:bookmarkEnd w:id="36"/>
          </w:p>
        </w:tc>
        <w:tc>
          <w:tcPr>
            <w:tcW w:w="1525" w:type="dxa"/>
          </w:tcPr>
          <w:p w14:paraId="25BD4CD6" w14:textId="77777777" w:rsidR="00562F87" w:rsidRPr="00E962DB" w:rsidRDefault="00562F87" w:rsidP="00EF6A40">
            <w:pPr>
              <w:rPr>
                <w:rFonts w:ascii="Arial" w:hAnsi="Arial" w:cs="Arial"/>
                <w:b/>
                <w:sz w:val="20"/>
                <w:szCs w:val="20"/>
              </w:rPr>
            </w:pPr>
            <w:bookmarkStart w:id="37" w:name="_Toc471915146"/>
            <w:bookmarkStart w:id="38" w:name="_Toc486250847"/>
            <w:bookmarkStart w:id="39" w:name="_Toc486253565"/>
            <w:bookmarkStart w:id="40" w:name="_Toc486254392"/>
            <w:bookmarkStart w:id="41" w:name="_Toc486254664"/>
            <w:bookmarkStart w:id="42" w:name="_Toc486255671"/>
            <w:bookmarkStart w:id="43" w:name="_Toc486329098"/>
            <w:bookmarkEnd w:id="37"/>
            <w:r w:rsidRPr="00E962DB">
              <w:rPr>
                <w:rFonts w:ascii="Arial" w:hAnsi="Arial" w:cs="Arial"/>
                <w:b/>
                <w:sz w:val="20"/>
                <w:szCs w:val="20"/>
              </w:rPr>
              <w:t>Reporting date to Reportable Jurisdiction Competent Authority</w:t>
            </w:r>
            <w:bookmarkEnd w:id="38"/>
            <w:bookmarkEnd w:id="39"/>
            <w:bookmarkEnd w:id="40"/>
            <w:bookmarkEnd w:id="41"/>
            <w:bookmarkEnd w:id="42"/>
            <w:bookmarkEnd w:id="43"/>
          </w:p>
        </w:tc>
      </w:tr>
      <w:tr w:rsidR="00562F87" w:rsidRPr="00E962DB" w14:paraId="3A78C011" w14:textId="77777777" w:rsidTr="00497652">
        <w:tc>
          <w:tcPr>
            <w:tcW w:w="2785" w:type="dxa"/>
          </w:tcPr>
          <w:p w14:paraId="36A9AF23" w14:textId="77777777" w:rsidR="00562F87" w:rsidRPr="00E962DB" w:rsidRDefault="00562F87" w:rsidP="00EF6A40">
            <w:pPr>
              <w:rPr>
                <w:rFonts w:ascii="Arial" w:hAnsi="Arial" w:cs="Arial"/>
                <w:sz w:val="20"/>
                <w:szCs w:val="20"/>
              </w:rPr>
            </w:pPr>
            <w:bookmarkStart w:id="44" w:name="_Toc471915147"/>
            <w:bookmarkStart w:id="45" w:name="_Toc486250848"/>
            <w:bookmarkStart w:id="46" w:name="_Toc486253566"/>
            <w:bookmarkStart w:id="47" w:name="_Toc486254393"/>
            <w:bookmarkStart w:id="48" w:name="_Toc486254665"/>
            <w:bookmarkStart w:id="49" w:name="_Toc486255672"/>
            <w:bookmarkStart w:id="50" w:name="_Toc486329099"/>
            <w:r w:rsidRPr="00E962DB">
              <w:rPr>
                <w:rFonts w:ascii="Arial" w:hAnsi="Arial" w:cs="Arial"/>
                <w:sz w:val="20"/>
                <w:szCs w:val="20"/>
              </w:rPr>
              <w:t>Each Reportable Person either</w:t>
            </w:r>
            <w:bookmarkEnd w:id="44"/>
            <w:bookmarkEnd w:id="45"/>
            <w:bookmarkEnd w:id="46"/>
            <w:bookmarkEnd w:id="47"/>
            <w:bookmarkEnd w:id="48"/>
            <w:bookmarkEnd w:id="49"/>
            <w:bookmarkEnd w:id="50"/>
          </w:p>
          <w:p w14:paraId="26B0A290" w14:textId="77777777" w:rsidR="00562F87" w:rsidRPr="00E962DB" w:rsidRDefault="00562F87" w:rsidP="00EF6A40">
            <w:pPr>
              <w:rPr>
                <w:rFonts w:ascii="Arial" w:hAnsi="Arial" w:cs="Arial"/>
                <w:sz w:val="20"/>
                <w:szCs w:val="20"/>
              </w:rPr>
            </w:pPr>
          </w:p>
          <w:p w14:paraId="615947C6" w14:textId="77777777" w:rsidR="00562F87" w:rsidRPr="00E962DB" w:rsidRDefault="00562F87" w:rsidP="00497652">
            <w:pPr>
              <w:pStyle w:val="ListParagraph"/>
              <w:numPr>
                <w:ilvl w:val="0"/>
                <w:numId w:val="30"/>
              </w:numPr>
              <w:rPr>
                <w:rFonts w:ascii="Arial" w:hAnsi="Arial" w:cs="Arial"/>
                <w:sz w:val="20"/>
                <w:szCs w:val="20"/>
              </w:rPr>
            </w:pPr>
            <w:r w:rsidRPr="00E962DB">
              <w:rPr>
                <w:rFonts w:ascii="Arial" w:hAnsi="Arial" w:cs="Arial"/>
                <w:sz w:val="20"/>
                <w:szCs w:val="20"/>
              </w:rPr>
              <w:t xml:space="preserve">Holding a Reportable Account, or </w:t>
            </w:r>
          </w:p>
          <w:p w14:paraId="3923727D" w14:textId="77777777" w:rsidR="00562F87" w:rsidRPr="00E962DB" w:rsidRDefault="00562F87" w:rsidP="00EF6A40">
            <w:pPr>
              <w:pStyle w:val="ListParagraph"/>
              <w:rPr>
                <w:rFonts w:ascii="Arial" w:hAnsi="Arial" w:cs="Arial"/>
                <w:sz w:val="20"/>
                <w:szCs w:val="20"/>
              </w:rPr>
            </w:pPr>
          </w:p>
          <w:p w14:paraId="1FEBED0B" w14:textId="77777777" w:rsidR="00562F87" w:rsidRPr="00E962DB" w:rsidRDefault="00562F87" w:rsidP="00497652">
            <w:pPr>
              <w:pStyle w:val="ListParagraph"/>
              <w:numPr>
                <w:ilvl w:val="0"/>
                <w:numId w:val="30"/>
              </w:numPr>
              <w:rPr>
                <w:rFonts w:ascii="Arial" w:hAnsi="Arial" w:cs="Arial"/>
                <w:sz w:val="20"/>
                <w:szCs w:val="20"/>
              </w:rPr>
            </w:pPr>
            <w:r w:rsidRPr="00E962DB">
              <w:rPr>
                <w:rFonts w:ascii="Arial" w:hAnsi="Arial" w:cs="Arial"/>
                <w:sz w:val="20"/>
                <w:szCs w:val="20"/>
              </w:rPr>
              <w:t>Is Controlling Person of an entity account</w:t>
            </w:r>
          </w:p>
        </w:tc>
        <w:tc>
          <w:tcPr>
            <w:tcW w:w="4325" w:type="dxa"/>
          </w:tcPr>
          <w:p w14:paraId="38F18B59" w14:textId="77777777" w:rsidR="00562F87" w:rsidRPr="00E962DB" w:rsidRDefault="00562F87" w:rsidP="00497652">
            <w:pPr>
              <w:pStyle w:val="ListParagraph"/>
              <w:numPr>
                <w:ilvl w:val="0"/>
                <w:numId w:val="31"/>
              </w:numPr>
              <w:rPr>
                <w:rFonts w:ascii="Arial" w:hAnsi="Arial" w:cs="Arial"/>
                <w:sz w:val="20"/>
                <w:szCs w:val="20"/>
              </w:rPr>
            </w:pPr>
            <w:bookmarkStart w:id="51" w:name="_Toc471915148"/>
            <w:bookmarkStart w:id="52" w:name="_Toc486250849"/>
            <w:bookmarkStart w:id="53" w:name="_Toc486253567"/>
            <w:bookmarkStart w:id="54" w:name="_Toc486254394"/>
            <w:bookmarkStart w:id="55" w:name="_Toc486254666"/>
            <w:bookmarkStart w:id="56" w:name="_Toc486255673"/>
            <w:bookmarkStart w:id="57" w:name="_Toc486329100"/>
            <w:r w:rsidRPr="00E962DB">
              <w:rPr>
                <w:rFonts w:ascii="Arial" w:hAnsi="Arial" w:cs="Arial"/>
                <w:sz w:val="20"/>
                <w:szCs w:val="20"/>
              </w:rPr>
              <w:t>Name</w:t>
            </w:r>
            <w:bookmarkEnd w:id="51"/>
            <w:bookmarkEnd w:id="52"/>
            <w:bookmarkEnd w:id="53"/>
            <w:bookmarkEnd w:id="54"/>
            <w:bookmarkEnd w:id="55"/>
            <w:bookmarkEnd w:id="56"/>
            <w:bookmarkEnd w:id="57"/>
          </w:p>
          <w:p w14:paraId="257BB2B2"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Address</w:t>
            </w:r>
          </w:p>
          <w:p w14:paraId="15831695"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Jurisdiction of residence</w:t>
            </w:r>
          </w:p>
          <w:p w14:paraId="61060348"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Tax Identification Number (TIN)</w:t>
            </w:r>
          </w:p>
          <w:p w14:paraId="3EB8C0FD"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Date of Birth</w:t>
            </w:r>
          </w:p>
          <w:p w14:paraId="50D08FF6"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Place of Birth</w:t>
            </w:r>
          </w:p>
          <w:p w14:paraId="6C2FB957"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 xml:space="preserve">Account number or functional equivalent </w:t>
            </w:r>
          </w:p>
          <w:p w14:paraId="7DE62ACC"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Name and identifying number (if any) of Reporting Financial Institution</w:t>
            </w:r>
          </w:p>
          <w:p w14:paraId="0204DF68"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 xml:space="preserve">Account balance or value </w:t>
            </w:r>
          </w:p>
        </w:tc>
        <w:tc>
          <w:tcPr>
            <w:tcW w:w="1350" w:type="dxa"/>
            <w:vMerge w:val="restart"/>
            <w:vAlign w:val="center"/>
          </w:tcPr>
          <w:p w14:paraId="0FFB3FAC" w14:textId="77777777" w:rsidR="00562F87" w:rsidRPr="00E962DB" w:rsidRDefault="00562F87" w:rsidP="00497652">
            <w:pPr>
              <w:jc w:val="center"/>
              <w:rPr>
                <w:rFonts w:ascii="Arial" w:hAnsi="Arial" w:cs="Arial"/>
                <w:sz w:val="20"/>
                <w:szCs w:val="20"/>
              </w:rPr>
            </w:pPr>
            <w:bookmarkStart w:id="58" w:name="_Toc486250850"/>
            <w:bookmarkStart w:id="59" w:name="_Toc486253568"/>
            <w:bookmarkStart w:id="60" w:name="_Toc486254395"/>
            <w:bookmarkStart w:id="61" w:name="_Toc486254667"/>
            <w:bookmarkStart w:id="62" w:name="_Toc486255674"/>
            <w:bookmarkStart w:id="63" w:name="_Toc486329101"/>
            <w:r w:rsidRPr="00E962DB">
              <w:rPr>
                <w:rFonts w:ascii="Arial" w:hAnsi="Arial" w:cs="Arial"/>
                <w:sz w:val="20"/>
                <w:szCs w:val="20"/>
              </w:rPr>
              <w:t>31 July</w:t>
            </w:r>
            <w:bookmarkEnd w:id="58"/>
            <w:bookmarkEnd w:id="59"/>
            <w:bookmarkEnd w:id="60"/>
            <w:bookmarkEnd w:id="61"/>
            <w:bookmarkEnd w:id="62"/>
            <w:bookmarkEnd w:id="63"/>
          </w:p>
        </w:tc>
        <w:tc>
          <w:tcPr>
            <w:tcW w:w="1525" w:type="dxa"/>
            <w:vMerge w:val="restart"/>
            <w:vAlign w:val="center"/>
          </w:tcPr>
          <w:p w14:paraId="34C66761" w14:textId="77777777" w:rsidR="00562F87" w:rsidRPr="00E962DB" w:rsidRDefault="00562F87" w:rsidP="00497652">
            <w:pPr>
              <w:jc w:val="center"/>
              <w:rPr>
                <w:rFonts w:ascii="Arial" w:hAnsi="Arial" w:cs="Arial"/>
                <w:sz w:val="20"/>
                <w:szCs w:val="20"/>
              </w:rPr>
            </w:pPr>
            <w:bookmarkStart w:id="64" w:name="_Toc471915150"/>
            <w:bookmarkStart w:id="65" w:name="_Toc486250851"/>
            <w:bookmarkStart w:id="66" w:name="_Toc486253569"/>
            <w:bookmarkStart w:id="67" w:name="_Toc486254396"/>
            <w:bookmarkStart w:id="68" w:name="_Toc486254668"/>
            <w:bookmarkStart w:id="69" w:name="_Toc486255675"/>
            <w:bookmarkStart w:id="70" w:name="_Toc486329102"/>
            <w:bookmarkEnd w:id="64"/>
            <w:bookmarkEnd w:id="65"/>
            <w:bookmarkEnd w:id="66"/>
            <w:bookmarkEnd w:id="67"/>
            <w:bookmarkEnd w:id="68"/>
            <w:bookmarkEnd w:id="69"/>
            <w:bookmarkEnd w:id="70"/>
            <w:r w:rsidRPr="00E962DB">
              <w:rPr>
                <w:rFonts w:ascii="Arial" w:hAnsi="Arial" w:cs="Arial"/>
                <w:sz w:val="20"/>
                <w:szCs w:val="20"/>
              </w:rPr>
              <w:t>30 September</w:t>
            </w:r>
          </w:p>
        </w:tc>
      </w:tr>
      <w:tr w:rsidR="00562F87" w:rsidRPr="00E962DB" w14:paraId="7E514B51" w14:textId="77777777" w:rsidTr="00497652">
        <w:tc>
          <w:tcPr>
            <w:tcW w:w="2785" w:type="dxa"/>
          </w:tcPr>
          <w:p w14:paraId="456D1F1F" w14:textId="77777777" w:rsidR="00562F87" w:rsidRPr="00E962DB" w:rsidRDefault="00562F87" w:rsidP="00EF6A40">
            <w:pPr>
              <w:rPr>
                <w:rFonts w:ascii="Arial" w:hAnsi="Arial" w:cs="Arial"/>
                <w:sz w:val="20"/>
                <w:szCs w:val="20"/>
              </w:rPr>
            </w:pPr>
            <w:bookmarkStart w:id="71" w:name="_Toc471915151"/>
            <w:bookmarkStart w:id="72" w:name="_Toc486250852"/>
            <w:bookmarkStart w:id="73" w:name="_Toc486253570"/>
            <w:bookmarkStart w:id="74" w:name="_Toc486254397"/>
            <w:bookmarkStart w:id="75" w:name="_Toc486254669"/>
            <w:bookmarkStart w:id="76" w:name="_Toc486255676"/>
            <w:bookmarkStart w:id="77" w:name="_Toc486329103"/>
            <w:r w:rsidRPr="00E962DB">
              <w:rPr>
                <w:rFonts w:ascii="Arial" w:hAnsi="Arial" w:cs="Arial"/>
                <w:sz w:val="20"/>
                <w:szCs w:val="20"/>
              </w:rPr>
              <w:t>Custodial Account</w:t>
            </w:r>
            <w:bookmarkEnd w:id="71"/>
            <w:bookmarkEnd w:id="72"/>
            <w:bookmarkEnd w:id="73"/>
            <w:bookmarkEnd w:id="74"/>
            <w:bookmarkEnd w:id="75"/>
            <w:bookmarkEnd w:id="76"/>
            <w:bookmarkEnd w:id="77"/>
          </w:p>
        </w:tc>
        <w:tc>
          <w:tcPr>
            <w:tcW w:w="4325" w:type="dxa"/>
          </w:tcPr>
          <w:p w14:paraId="064FC507"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Total gross amount of interest</w:t>
            </w:r>
          </w:p>
          <w:p w14:paraId="3D464C13"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Total gross amount of dividends</w:t>
            </w:r>
          </w:p>
          <w:p w14:paraId="4CE14706" w14:textId="7777777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Total gross amount of other income paid or credited to the account</w:t>
            </w:r>
          </w:p>
          <w:p w14:paraId="796E8E03" w14:textId="03790107" w:rsidR="00562F87" w:rsidRPr="00E962DB" w:rsidRDefault="00562F87" w:rsidP="00497652">
            <w:pPr>
              <w:pStyle w:val="ListParagraph"/>
              <w:numPr>
                <w:ilvl w:val="0"/>
                <w:numId w:val="31"/>
              </w:numPr>
              <w:rPr>
                <w:rFonts w:ascii="Arial" w:hAnsi="Arial" w:cs="Arial"/>
                <w:sz w:val="20"/>
                <w:szCs w:val="20"/>
              </w:rPr>
            </w:pPr>
            <w:r w:rsidRPr="00E962DB">
              <w:rPr>
                <w:rFonts w:ascii="Arial" w:hAnsi="Arial" w:cs="Arial"/>
                <w:sz w:val="20"/>
                <w:szCs w:val="20"/>
              </w:rPr>
              <w:t xml:space="preserve">The total gross proceeds from the sale or redemption of </w:t>
            </w:r>
            <w:r w:rsidR="00ED39D7" w:rsidRPr="00E962DB">
              <w:rPr>
                <w:rFonts w:ascii="Arial" w:hAnsi="Arial" w:cs="Arial"/>
                <w:sz w:val="20"/>
                <w:szCs w:val="20"/>
              </w:rPr>
              <w:t>financial assets</w:t>
            </w:r>
            <w:r w:rsidRPr="00E962DB">
              <w:rPr>
                <w:rFonts w:ascii="Arial" w:hAnsi="Arial" w:cs="Arial"/>
                <w:sz w:val="20"/>
                <w:szCs w:val="20"/>
              </w:rPr>
              <w:t xml:space="preserve"> paid or credited to the account </w:t>
            </w:r>
          </w:p>
          <w:p w14:paraId="214B0B51" w14:textId="77777777" w:rsidR="00562F87" w:rsidRPr="00E962DB" w:rsidRDefault="00562F87" w:rsidP="00497652">
            <w:pPr>
              <w:pStyle w:val="ListParagraph"/>
              <w:numPr>
                <w:ilvl w:val="0"/>
                <w:numId w:val="31"/>
              </w:numPr>
              <w:rPr>
                <w:rFonts w:ascii="Arial" w:hAnsi="Arial" w:cs="Arial"/>
                <w:sz w:val="20"/>
                <w:szCs w:val="20"/>
              </w:rPr>
            </w:pPr>
          </w:p>
        </w:tc>
        <w:tc>
          <w:tcPr>
            <w:tcW w:w="1350" w:type="dxa"/>
            <w:vMerge/>
          </w:tcPr>
          <w:p w14:paraId="56FDF093" w14:textId="77777777" w:rsidR="00562F87" w:rsidRPr="00E962DB" w:rsidRDefault="00562F87" w:rsidP="00EF6A40">
            <w:pPr>
              <w:rPr>
                <w:rFonts w:ascii="Arial" w:hAnsi="Arial" w:cs="Arial"/>
                <w:sz w:val="20"/>
                <w:szCs w:val="20"/>
              </w:rPr>
            </w:pPr>
          </w:p>
        </w:tc>
        <w:tc>
          <w:tcPr>
            <w:tcW w:w="1525" w:type="dxa"/>
            <w:vMerge/>
          </w:tcPr>
          <w:p w14:paraId="6703228C" w14:textId="77777777" w:rsidR="00562F87" w:rsidRPr="00E962DB" w:rsidRDefault="00562F87" w:rsidP="00EF6A40">
            <w:pPr>
              <w:rPr>
                <w:rFonts w:ascii="Arial" w:hAnsi="Arial" w:cs="Arial"/>
                <w:sz w:val="20"/>
                <w:szCs w:val="20"/>
              </w:rPr>
            </w:pPr>
          </w:p>
        </w:tc>
      </w:tr>
      <w:tr w:rsidR="00562F87" w:rsidRPr="00E962DB" w14:paraId="26117AFB" w14:textId="77777777" w:rsidTr="00497652">
        <w:tc>
          <w:tcPr>
            <w:tcW w:w="2785" w:type="dxa"/>
          </w:tcPr>
          <w:p w14:paraId="0FC3694D" w14:textId="77777777" w:rsidR="00562F87" w:rsidRPr="00E962DB" w:rsidRDefault="00562F87" w:rsidP="00EF6A40">
            <w:pPr>
              <w:rPr>
                <w:rFonts w:ascii="Arial" w:hAnsi="Arial" w:cs="Arial"/>
                <w:sz w:val="20"/>
                <w:szCs w:val="20"/>
              </w:rPr>
            </w:pPr>
            <w:bookmarkStart w:id="78" w:name="_Toc471915152"/>
            <w:bookmarkStart w:id="79" w:name="_Toc486250853"/>
            <w:bookmarkStart w:id="80" w:name="_Toc486253571"/>
            <w:bookmarkStart w:id="81" w:name="_Toc486254398"/>
            <w:bookmarkStart w:id="82" w:name="_Toc486254670"/>
            <w:bookmarkStart w:id="83" w:name="_Toc486255677"/>
            <w:bookmarkStart w:id="84" w:name="_Toc486329104"/>
            <w:r w:rsidRPr="00E962DB">
              <w:rPr>
                <w:rFonts w:ascii="Arial" w:hAnsi="Arial" w:cs="Arial"/>
                <w:sz w:val="20"/>
                <w:szCs w:val="20"/>
              </w:rPr>
              <w:t>Depository Account</w:t>
            </w:r>
            <w:bookmarkEnd w:id="78"/>
            <w:bookmarkEnd w:id="79"/>
            <w:bookmarkEnd w:id="80"/>
            <w:bookmarkEnd w:id="81"/>
            <w:bookmarkEnd w:id="82"/>
            <w:bookmarkEnd w:id="83"/>
            <w:bookmarkEnd w:id="84"/>
          </w:p>
        </w:tc>
        <w:tc>
          <w:tcPr>
            <w:tcW w:w="4325" w:type="dxa"/>
          </w:tcPr>
          <w:p w14:paraId="56AB60A6" w14:textId="77777777" w:rsidR="00562F87" w:rsidRPr="00E962DB" w:rsidRDefault="00562F87" w:rsidP="00EF6A40">
            <w:pPr>
              <w:rPr>
                <w:rFonts w:ascii="Arial" w:hAnsi="Arial" w:cs="Arial"/>
                <w:sz w:val="20"/>
                <w:szCs w:val="20"/>
              </w:rPr>
            </w:pPr>
            <w:bookmarkStart w:id="85" w:name="_Toc471915153"/>
            <w:bookmarkStart w:id="86" w:name="_Toc486250854"/>
            <w:bookmarkStart w:id="87" w:name="_Toc486253572"/>
            <w:bookmarkStart w:id="88" w:name="_Toc486254399"/>
            <w:bookmarkStart w:id="89" w:name="_Toc486254671"/>
            <w:bookmarkStart w:id="90" w:name="_Toc486255678"/>
            <w:bookmarkStart w:id="91" w:name="_Toc486329105"/>
            <w:r w:rsidRPr="00E962DB">
              <w:rPr>
                <w:rFonts w:ascii="Arial" w:hAnsi="Arial" w:cs="Arial"/>
                <w:sz w:val="20"/>
                <w:szCs w:val="20"/>
              </w:rPr>
              <w:t>The total amount of gross interest paid or credited to the account in the calendar year.</w:t>
            </w:r>
            <w:bookmarkEnd w:id="85"/>
            <w:bookmarkEnd w:id="86"/>
            <w:bookmarkEnd w:id="87"/>
            <w:bookmarkEnd w:id="88"/>
            <w:bookmarkEnd w:id="89"/>
            <w:bookmarkEnd w:id="90"/>
            <w:bookmarkEnd w:id="91"/>
          </w:p>
        </w:tc>
        <w:tc>
          <w:tcPr>
            <w:tcW w:w="1350" w:type="dxa"/>
            <w:vMerge/>
          </w:tcPr>
          <w:p w14:paraId="07A7AA8F" w14:textId="77777777" w:rsidR="00562F87" w:rsidRPr="00E962DB" w:rsidRDefault="00562F87" w:rsidP="00EF6A40">
            <w:pPr>
              <w:rPr>
                <w:rFonts w:ascii="Arial" w:hAnsi="Arial" w:cs="Arial"/>
                <w:sz w:val="20"/>
                <w:szCs w:val="20"/>
              </w:rPr>
            </w:pPr>
          </w:p>
        </w:tc>
        <w:tc>
          <w:tcPr>
            <w:tcW w:w="1525" w:type="dxa"/>
            <w:vMerge/>
          </w:tcPr>
          <w:p w14:paraId="4646D2CA" w14:textId="77777777" w:rsidR="00562F87" w:rsidRPr="00E962DB" w:rsidRDefault="00562F87" w:rsidP="00EF6A40">
            <w:pPr>
              <w:rPr>
                <w:rFonts w:ascii="Arial" w:hAnsi="Arial" w:cs="Arial"/>
                <w:sz w:val="20"/>
                <w:szCs w:val="20"/>
              </w:rPr>
            </w:pPr>
          </w:p>
        </w:tc>
      </w:tr>
      <w:tr w:rsidR="00562F87" w:rsidRPr="00E962DB" w14:paraId="692A2B99" w14:textId="77777777" w:rsidTr="00497652">
        <w:tc>
          <w:tcPr>
            <w:tcW w:w="2785" w:type="dxa"/>
          </w:tcPr>
          <w:p w14:paraId="07A7C2BB" w14:textId="77777777" w:rsidR="00562F87" w:rsidRPr="00E962DB" w:rsidRDefault="00562F87" w:rsidP="00EF6A40">
            <w:pPr>
              <w:rPr>
                <w:rFonts w:ascii="Arial" w:hAnsi="Arial" w:cs="Arial"/>
                <w:sz w:val="20"/>
                <w:szCs w:val="20"/>
              </w:rPr>
            </w:pPr>
            <w:bookmarkStart w:id="92" w:name="_Toc471915154"/>
            <w:bookmarkStart w:id="93" w:name="_Toc486250855"/>
            <w:bookmarkStart w:id="94" w:name="_Toc486253573"/>
            <w:bookmarkStart w:id="95" w:name="_Toc486254400"/>
            <w:bookmarkStart w:id="96" w:name="_Toc486254672"/>
            <w:bookmarkStart w:id="97" w:name="_Toc486255679"/>
            <w:bookmarkStart w:id="98" w:name="_Toc486329106"/>
            <w:r w:rsidRPr="00E962DB">
              <w:rPr>
                <w:rFonts w:ascii="Arial" w:hAnsi="Arial" w:cs="Arial"/>
                <w:sz w:val="20"/>
                <w:szCs w:val="20"/>
              </w:rPr>
              <w:t>Other Accounts</w:t>
            </w:r>
            <w:bookmarkEnd w:id="92"/>
            <w:bookmarkEnd w:id="93"/>
            <w:bookmarkEnd w:id="94"/>
            <w:bookmarkEnd w:id="95"/>
            <w:bookmarkEnd w:id="96"/>
            <w:bookmarkEnd w:id="97"/>
            <w:bookmarkEnd w:id="98"/>
          </w:p>
        </w:tc>
        <w:tc>
          <w:tcPr>
            <w:tcW w:w="4325" w:type="dxa"/>
          </w:tcPr>
          <w:p w14:paraId="49E647B7" w14:textId="77777777" w:rsidR="00562F87" w:rsidRPr="00E962DB" w:rsidRDefault="00562F87" w:rsidP="00EF6A40">
            <w:pPr>
              <w:rPr>
                <w:rFonts w:ascii="Arial" w:hAnsi="Arial" w:cs="Arial"/>
                <w:sz w:val="20"/>
                <w:szCs w:val="20"/>
              </w:rPr>
            </w:pPr>
            <w:bookmarkStart w:id="99" w:name="_Toc471915155"/>
            <w:bookmarkStart w:id="100" w:name="_Toc486250856"/>
            <w:bookmarkStart w:id="101" w:name="_Toc486253574"/>
            <w:bookmarkStart w:id="102" w:name="_Toc486254401"/>
            <w:bookmarkStart w:id="103" w:name="_Toc486254673"/>
            <w:bookmarkStart w:id="104" w:name="_Toc486255680"/>
            <w:bookmarkStart w:id="105" w:name="_Toc486329107"/>
            <w:r w:rsidRPr="00E962DB">
              <w:rPr>
                <w:rFonts w:ascii="Arial" w:hAnsi="Arial" w:cs="Arial"/>
                <w:sz w:val="20"/>
                <w:szCs w:val="20"/>
              </w:rPr>
              <w:t>The total amount of gross interest paid or credited to the account including the aggregate amount of redemption payments made to the Account Holder during the calendar year.</w:t>
            </w:r>
            <w:bookmarkEnd w:id="99"/>
            <w:bookmarkEnd w:id="100"/>
            <w:bookmarkEnd w:id="101"/>
            <w:bookmarkEnd w:id="102"/>
            <w:bookmarkEnd w:id="103"/>
            <w:bookmarkEnd w:id="104"/>
            <w:bookmarkEnd w:id="105"/>
          </w:p>
        </w:tc>
        <w:tc>
          <w:tcPr>
            <w:tcW w:w="1350" w:type="dxa"/>
            <w:vMerge/>
          </w:tcPr>
          <w:p w14:paraId="225A11C5" w14:textId="77777777" w:rsidR="00562F87" w:rsidRPr="00E962DB" w:rsidRDefault="00562F87" w:rsidP="00EF6A40">
            <w:pPr>
              <w:rPr>
                <w:rFonts w:ascii="Arial" w:hAnsi="Arial" w:cs="Arial"/>
                <w:sz w:val="20"/>
                <w:szCs w:val="20"/>
              </w:rPr>
            </w:pPr>
          </w:p>
        </w:tc>
        <w:tc>
          <w:tcPr>
            <w:tcW w:w="1525" w:type="dxa"/>
            <w:vMerge/>
          </w:tcPr>
          <w:p w14:paraId="746887AF" w14:textId="77777777" w:rsidR="00562F87" w:rsidRPr="00E962DB" w:rsidRDefault="00562F87" w:rsidP="00EF6A40">
            <w:pPr>
              <w:rPr>
                <w:rFonts w:ascii="Arial" w:hAnsi="Arial" w:cs="Arial"/>
                <w:sz w:val="20"/>
                <w:szCs w:val="20"/>
              </w:rPr>
            </w:pPr>
          </w:p>
        </w:tc>
      </w:tr>
    </w:tbl>
    <w:p w14:paraId="11D7837F" w14:textId="77777777" w:rsidR="00562F87" w:rsidRPr="00E962DB" w:rsidRDefault="00562F87" w:rsidP="00EF6A40"/>
    <w:p w14:paraId="13DC5CBB" w14:textId="77777777" w:rsidR="00562F87" w:rsidRPr="00E962DB" w:rsidRDefault="00562F87" w:rsidP="00EF6A40"/>
    <w:p w14:paraId="07DE3140"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sz w:val="24"/>
          <w:lang w:val="en-GB"/>
        </w:rPr>
        <w:t xml:space="preserve">The Bahamas Competent Authority will issue further </w:t>
      </w:r>
      <w:r w:rsidRPr="00E962DB">
        <w:rPr>
          <w:rFonts w:ascii="Arial" w:hAnsi="Arial" w:cs="Arial"/>
          <w:color w:val="000000"/>
          <w:sz w:val="24"/>
          <w:lang w:val="en-GB"/>
        </w:rPr>
        <w:t>updates, as necessary, when the Portal will be available for reporting for CRS.</w:t>
      </w:r>
    </w:p>
    <w:p w14:paraId="72142A61"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0AAACC0B"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The Bahamas reporting schema for CRS will be the </w:t>
      </w:r>
      <w:r w:rsidRPr="00E962DB">
        <w:rPr>
          <w:rFonts w:ascii="Arial" w:hAnsi="Arial" w:cs="Arial"/>
          <w:sz w:val="24"/>
          <w:lang w:val="en-GB"/>
        </w:rPr>
        <w:t xml:space="preserve">published CRS XML Schema </w:t>
      </w:r>
      <w:r w:rsidRPr="00E962DB">
        <w:rPr>
          <w:rFonts w:ascii="Arial" w:hAnsi="Arial" w:cs="Arial"/>
          <w:color w:val="000000"/>
          <w:sz w:val="24"/>
          <w:lang w:val="en-GB"/>
        </w:rPr>
        <w:t>that is available on the OECD Automatic Exchange Portal.</w:t>
      </w:r>
    </w:p>
    <w:p w14:paraId="55627EC3"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3EA5E498"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A user guide will also be available to assist with CRS notification and reporting process through The Bahamas AEOI Portal (</w:t>
      </w:r>
      <w:hyperlink r:id="rId19" w:history="1">
        <w:r w:rsidRPr="00E962DB">
          <w:rPr>
            <w:rStyle w:val="Hyperlink"/>
            <w:rFonts w:ascii="Arial" w:hAnsi="Arial" w:cs="Arial"/>
            <w:spacing w:val="3"/>
            <w:sz w:val="24"/>
            <w:lang w:val="en-GB"/>
          </w:rPr>
          <w:t>www.taxreporting.finance.gov.bs</w:t>
        </w:r>
      </w:hyperlink>
      <w:r w:rsidRPr="00E962DB">
        <w:rPr>
          <w:rFonts w:ascii="Arial" w:hAnsi="Arial" w:cs="Arial"/>
          <w:color w:val="000000"/>
          <w:spacing w:val="3"/>
          <w:sz w:val="24"/>
          <w:lang w:val="en-GB"/>
        </w:rPr>
        <w:t>) including the prescribed format for reporting</w:t>
      </w:r>
      <w:r w:rsidRPr="00E962DB">
        <w:rPr>
          <w:rFonts w:ascii="Arial" w:hAnsi="Arial" w:cs="Arial"/>
          <w:color w:val="000000"/>
          <w:sz w:val="24"/>
          <w:lang w:val="en-GB"/>
        </w:rPr>
        <w:t>.</w:t>
      </w:r>
    </w:p>
    <w:p w14:paraId="7D3F6851"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0491E81C" w14:textId="77777777" w:rsidR="00562F87" w:rsidRPr="00E962DB" w:rsidRDefault="00562F87" w:rsidP="00731D88">
      <w:pPr>
        <w:pStyle w:val="Heading2"/>
        <w:numPr>
          <w:ilvl w:val="0"/>
          <w:numId w:val="32"/>
        </w:numPr>
        <w:rPr>
          <w:lang w:val="en-GB"/>
        </w:rPr>
      </w:pPr>
      <w:bookmarkStart w:id="106" w:name="_Toc492290968"/>
      <w:r w:rsidRPr="00E962DB">
        <w:rPr>
          <w:lang w:val="en-GB"/>
        </w:rPr>
        <w:t>Closed Accounts</w:t>
      </w:r>
      <w:bookmarkEnd w:id="106"/>
    </w:p>
    <w:p w14:paraId="6C82373C" w14:textId="77777777" w:rsidR="00562F87" w:rsidRPr="00E962DB" w:rsidRDefault="00562F87" w:rsidP="00EF6A40">
      <w:pPr>
        <w:spacing w:line="360" w:lineRule="auto"/>
        <w:jc w:val="both"/>
        <w:textAlignment w:val="baseline"/>
        <w:rPr>
          <w:rFonts w:ascii="Arial" w:hAnsi="Arial" w:cs="Arial"/>
          <w:sz w:val="24"/>
          <w:szCs w:val="24"/>
        </w:rPr>
      </w:pPr>
      <w:r w:rsidRPr="00E962DB">
        <w:rPr>
          <w:rFonts w:ascii="Arial" w:hAnsi="Arial" w:cs="Arial"/>
          <w:sz w:val="24"/>
          <w:szCs w:val="24"/>
        </w:rPr>
        <w:t>In the case of an account closure, where an account held or controlled by one or more Reportable Persons is closed within the reporting period, the Reporting Financial Institution shall not report the balance of the account on closing but, rather, that the account was closed. The necessary information with respect to the account holder, the account number and the Reporting Financial Information should be reported. ( Reference: Commentaries page 99 para 14 and Table 6 of the Implementation Handbook at page 74)</w:t>
      </w:r>
    </w:p>
    <w:p w14:paraId="5A8DFA6C" w14:textId="77777777" w:rsidR="00562F87" w:rsidRPr="00E962DB" w:rsidRDefault="00562F87" w:rsidP="00065CD7"/>
    <w:p w14:paraId="13CCE45E" w14:textId="77777777" w:rsidR="00562F87" w:rsidRPr="00E962DB" w:rsidRDefault="00562F87" w:rsidP="00731D88">
      <w:pPr>
        <w:pStyle w:val="Heading2"/>
        <w:numPr>
          <w:ilvl w:val="0"/>
          <w:numId w:val="32"/>
        </w:numPr>
        <w:rPr>
          <w:lang w:val="en-GB"/>
        </w:rPr>
      </w:pPr>
      <w:bookmarkStart w:id="107" w:name="_Toc492290969"/>
      <w:r w:rsidRPr="00E962DB">
        <w:rPr>
          <w:lang w:val="en-GB"/>
        </w:rPr>
        <w:t>Wider Approach</w:t>
      </w:r>
      <w:bookmarkEnd w:id="107"/>
    </w:p>
    <w:p w14:paraId="3661A98A" w14:textId="77777777" w:rsidR="00562F87" w:rsidRPr="00E962DB" w:rsidRDefault="00562F87" w:rsidP="00F17768">
      <w:pPr>
        <w:spacing w:line="360" w:lineRule="auto"/>
        <w:jc w:val="both"/>
        <w:rPr>
          <w:rFonts w:ascii="Arial" w:hAnsi="Arial" w:cs="Arial"/>
          <w:sz w:val="24"/>
          <w:szCs w:val="24"/>
        </w:rPr>
      </w:pPr>
      <w:r w:rsidRPr="00E962DB">
        <w:rPr>
          <w:rFonts w:ascii="Arial" w:hAnsi="Arial" w:cs="Arial"/>
          <w:sz w:val="24"/>
          <w:szCs w:val="24"/>
        </w:rPr>
        <w:t xml:space="preserve">The Bahamas has decided to implement the “wider approach” to CRS. Accordingly, Bahamian Reporting Financial Institutions shall be required to collect and retain the required information, ready to report, in relation to all accounts held or controlled by non-residents. </w:t>
      </w:r>
      <w:r w:rsidRPr="00E962DB">
        <w:rPr>
          <w:rFonts w:ascii="Arial" w:hAnsi="Arial" w:cs="Arial"/>
          <w:color w:val="000000"/>
          <w:sz w:val="24"/>
          <w:lang w:val="en-GB"/>
        </w:rPr>
        <w:t xml:space="preserve">Bahamian Reporting Financial Institutions shall only be required to report annually with respect to accounts held or controlled by persons resident in Reportable Jurisdictions. </w:t>
      </w:r>
      <w:r w:rsidRPr="00E962DB">
        <w:rPr>
          <w:rFonts w:ascii="Arial" w:hAnsi="Arial" w:cs="Arial"/>
          <w:sz w:val="24"/>
          <w:szCs w:val="24"/>
        </w:rPr>
        <w:t xml:space="preserve">Any information obtained in respect of a person that is not resident in a Reportable Jurisdiction will not be exchanged with the Competent Authority by a Bahamian Reporting Financial Institution until such time as the Competent Authority notifies it that such jurisdiction is a Reportable Jurisdiction. </w:t>
      </w:r>
    </w:p>
    <w:p w14:paraId="5BB1E03C" w14:textId="77777777" w:rsidR="00562F87" w:rsidRPr="00E962DB" w:rsidRDefault="00562F87" w:rsidP="00A057DD">
      <w:pPr>
        <w:spacing w:line="360" w:lineRule="auto"/>
        <w:textAlignment w:val="baseline"/>
        <w:rPr>
          <w:rFonts w:ascii="Arial" w:hAnsi="Arial" w:cs="Arial"/>
          <w:b/>
          <w:color w:val="4F81BC"/>
          <w:spacing w:val="-1"/>
          <w:sz w:val="26"/>
          <w:lang w:val="en-GB"/>
        </w:rPr>
      </w:pPr>
    </w:p>
    <w:p w14:paraId="51F4341D" w14:textId="77777777" w:rsidR="00562F87" w:rsidRPr="00E962DB" w:rsidRDefault="00562F87" w:rsidP="005D0659">
      <w:pPr>
        <w:pStyle w:val="Heading1"/>
        <w:numPr>
          <w:ilvl w:val="0"/>
          <w:numId w:val="24"/>
        </w:numPr>
        <w:ind w:left="0" w:firstLine="0"/>
        <w:jc w:val="center"/>
        <w:rPr>
          <w:lang w:val="en-GB"/>
        </w:rPr>
      </w:pPr>
      <w:bookmarkStart w:id="108" w:name="_Toc486250858"/>
      <w:bookmarkStart w:id="109" w:name="_Toc492290970"/>
      <w:r w:rsidRPr="00E962DB">
        <w:rPr>
          <w:lang w:val="en-GB"/>
        </w:rPr>
        <w:t>KEY DATES UNDER CRS</w:t>
      </w:r>
      <w:bookmarkEnd w:id="108"/>
      <w:bookmarkEnd w:id="109"/>
    </w:p>
    <w:p w14:paraId="20801FF8" w14:textId="77777777" w:rsidR="00562F87" w:rsidRPr="00E962DB" w:rsidRDefault="00562F87" w:rsidP="006759C8">
      <w:pPr>
        <w:jc w:val="both"/>
        <w:rPr>
          <w:rFonts w:ascii="Arial" w:hAnsi="Arial" w:cs="Arial"/>
          <w:sz w:val="24"/>
          <w:szCs w:val="24"/>
        </w:rPr>
      </w:pPr>
    </w:p>
    <w:p w14:paraId="6E5721FE" w14:textId="77777777" w:rsidR="00562F87" w:rsidRPr="00E962DB" w:rsidRDefault="00562F87" w:rsidP="00731D88">
      <w:pPr>
        <w:spacing w:line="360" w:lineRule="auto"/>
        <w:jc w:val="both"/>
        <w:rPr>
          <w:rFonts w:ascii="Arial" w:hAnsi="Arial" w:cs="Arial"/>
          <w:sz w:val="24"/>
          <w:szCs w:val="24"/>
        </w:rPr>
      </w:pPr>
      <w:r w:rsidRPr="00E962DB">
        <w:rPr>
          <w:rFonts w:ascii="Arial" w:hAnsi="Arial" w:cs="Arial"/>
          <w:sz w:val="24"/>
          <w:szCs w:val="24"/>
        </w:rPr>
        <w:t>The following are key effective dates for the implementation of the CRS in The Bahamas:</w:t>
      </w:r>
    </w:p>
    <w:p w14:paraId="1FBFF042" w14:textId="77777777" w:rsidR="00562F87" w:rsidRPr="00E962DB" w:rsidRDefault="00562F87" w:rsidP="006759C8">
      <w:pPr>
        <w:jc w:val="both"/>
        <w:rPr>
          <w:rFonts w:ascii="Arial" w:hAnsi="Arial" w:cs="Arial"/>
          <w:sz w:val="24"/>
          <w:szCs w:val="24"/>
        </w:rPr>
      </w:pPr>
    </w:p>
    <w:p w14:paraId="2170C582"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1.</w:t>
      </w:r>
      <w:r w:rsidRPr="00E962DB">
        <w:rPr>
          <w:color w:val="222222"/>
          <w:sz w:val="14"/>
          <w:szCs w:val="14"/>
        </w:rPr>
        <w:t>      </w:t>
      </w:r>
      <w:r w:rsidRPr="00E962DB">
        <w:rPr>
          <w:rFonts w:ascii="Calibri" w:hAnsi="Calibri" w:cs="Calibri"/>
          <w:i/>
          <w:iCs/>
          <w:color w:val="222222"/>
          <w:sz w:val="22"/>
          <w:szCs w:val="22"/>
        </w:rPr>
        <w:t>Preexisting Accounts to be subject to due diligence procedures are those in existence as of</w:t>
      </w:r>
      <w:r w:rsidRPr="00E962DB">
        <w:rPr>
          <w:rFonts w:ascii="Calibri" w:hAnsi="Calibri" w:cs="Calibri"/>
          <w:color w:val="222222"/>
          <w:sz w:val="22"/>
          <w:szCs w:val="22"/>
        </w:rPr>
        <w:t> </w:t>
      </w:r>
      <w:r w:rsidRPr="00E962DB">
        <w:rPr>
          <w:rFonts w:ascii="Calibri" w:hAnsi="Calibri" w:cs="Calibri"/>
          <w:i/>
          <w:iCs/>
          <w:color w:val="222222"/>
          <w:sz w:val="22"/>
          <w:szCs w:val="22"/>
        </w:rPr>
        <w:t>30 June 2017.</w:t>
      </w:r>
    </w:p>
    <w:p w14:paraId="7E55C22C"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2.</w:t>
      </w:r>
      <w:r w:rsidRPr="00E962DB">
        <w:rPr>
          <w:color w:val="222222"/>
          <w:sz w:val="14"/>
          <w:szCs w:val="14"/>
        </w:rPr>
        <w:t>      </w:t>
      </w:r>
      <w:r w:rsidRPr="00E962DB">
        <w:rPr>
          <w:rFonts w:ascii="Calibri" w:hAnsi="Calibri" w:cs="Calibri"/>
          <w:i/>
          <w:iCs/>
          <w:color w:val="222222"/>
          <w:sz w:val="22"/>
          <w:szCs w:val="22"/>
        </w:rPr>
        <w:t>New Accounts requiring a self-certification by the account holder or controlling person are those opened on or after 1 July 2017.</w:t>
      </w:r>
    </w:p>
    <w:p w14:paraId="3B0709CC"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3.</w:t>
      </w:r>
      <w:r w:rsidRPr="00E962DB">
        <w:rPr>
          <w:color w:val="222222"/>
          <w:sz w:val="14"/>
          <w:szCs w:val="14"/>
        </w:rPr>
        <w:t>      </w:t>
      </w:r>
      <w:r w:rsidRPr="00E962DB">
        <w:rPr>
          <w:rFonts w:ascii="Calibri" w:hAnsi="Calibri" w:cs="Calibri"/>
          <w:i/>
          <w:iCs/>
          <w:color w:val="222222"/>
          <w:sz w:val="22"/>
          <w:szCs w:val="22"/>
        </w:rPr>
        <w:t>The review of High Value Individual Accounts must be completed by </w:t>
      </w:r>
      <w:r w:rsidRPr="00E962DB">
        <w:rPr>
          <w:rStyle w:val="aqj"/>
          <w:rFonts w:ascii="Calibri" w:hAnsi="Calibri" w:cs="Calibri"/>
          <w:i/>
          <w:iCs/>
          <w:color w:val="222222"/>
          <w:sz w:val="22"/>
          <w:szCs w:val="22"/>
        </w:rPr>
        <w:t>31 December 2017</w:t>
      </w:r>
      <w:r w:rsidRPr="00E962DB">
        <w:rPr>
          <w:rFonts w:ascii="Calibri" w:hAnsi="Calibri" w:cs="Calibri"/>
          <w:i/>
          <w:iCs/>
          <w:color w:val="222222"/>
          <w:sz w:val="22"/>
          <w:szCs w:val="22"/>
        </w:rPr>
        <w:t>, and such Accounts that have been identified as Reportable Accounts should be reported to the Competent Authority by </w:t>
      </w:r>
      <w:r w:rsidRPr="00E962DB">
        <w:rPr>
          <w:rStyle w:val="aqj"/>
          <w:rFonts w:ascii="Calibri" w:hAnsi="Calibri" w:cs="Calibri"/>
          <w:i/>
          <w:iCs/>
          <w:color w:val="222222"/>
          <w:sz w:val="22"/>
          <w:szCs w:val="22"/>
        </w:rPr>
        <w:t>31 July, 2018</w:t>
      </w:r>
      <w:r w:rsidRPr="00E962DB">
        <w:rPr>
          <w:rFonts w:ascii="Calibri" w:hAnsi="Calibri" w:cs="Calibri"/>
          <w:i/>
          <w:iCs/>
          <w:color w:val="222222"/>
          <w:sz w:val="22"/>
          <w:szCs w:val="22"/>
        </w:rPr>
        <w:t>.</w:t>
      </w:r>
    </w:p>
    <w:p w14:paraId="180F9BAC"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4.</w:t>
      </w:r>
      <w:r w:rsidRPr="00E962DB">
        <w:rPr>
          <w:color w:val="222222"/>
          <w:sz w:val="14"/>
          <w:szCs w:val="14"/>
        </w:rPr>
        <w:t>      </w:t>
      </w:r>
      <w:r w:rsidRPr="00E962DB">
        <w:rPr>
          <w:rFonts w:ascii="Calibri" w:hAnsi="Calibri" w:cs="Calibri"/>
          <w:i/>
          <w:iCs/>
          <w:color w:val="222222"/>
          <w:sz w:val="22"/>
          <w:szCs w:val="22"/>
        </w:rPr>
        <w:t>The review of Lower Value Accounts and Preexisting Entity Accounts must be completed by </w:t>
      </w:r>
      <w:r w:rsidRPr="00E962DB">
        <w:rPr>
          <w:rStyle w:val="aqj"/>
          <w:rFonts w:ascii="Calibri" w:hAnsi="Calibri" w:cs="Calibri"/>
          <w:i/>
          <w:iCs/>
          <w:color w:val="222222"/>
          <w:sz w:val="22"/>
          <w:szCs w:val="22"/>
        </w:rPr>
        <w:t>31 December 2018</w:t>
      </w:r>
      <w:r w:rsidRPr="00E962DB">
        <w:rPr>
          <w:rFonts w:ascii="Calibri" w:hAnsi="Calibri" w:cs="Calibri"/>
          <w:i/>
          <w:iCs/>
          <w:color w:val="222222"/>
          <w:sz w:val="22"/>
          <w:szCs w:val="22"/>
        </w:rPr>
        <w:t>, and such Accounts that have been identified as Reportable Accounts should be reported to the Competent Authority by </w:t>
      </w:r>
      <w:r w:rsidRPr="00E962DB">
        <w:rPr>
          <w:rStyle w:val="aqj"/>
          <w:rFonts w:ascii="Calibri" w:hAnsi="Calibri" w:cs="Calibri"/>
          <w:i/>
          <w:iCs/>
          <w:color w:val="222222"/>
          <w:sz w:val="22"/>
          <w:szCs w:val="22"/>
        </w:rPr>
        <w:t>31 July, 2019</w:t>
      </w:r>
      <w:r w:rsidRPr="00E962DB">
        <w:rPr>
          <w:rFonts w:ascii="Calibri" w:hAnsi="Calibri" w:cs="Calibri"/>
          <w:i/>
          <w:iCs/>
          <w:color w:val="222222"/>
          <w:sz w:val="22"/>
          <w:szCs w:val="22"/>
        </w:rPr>
        <w:t>.</w:t>
      </w:r>
    </w:p>
    <w:p w14:paraId="29D3D0AE"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5.</w:t>
      </w:r>
      <w:r w:rsidRPr="00E962DB">
        <w:rPr>
          <w:color w:val="222222"/>
          <w:sz w:val="14"/>
          <w:szCs w:val="14"/>
        </w:rPr>
        <w:t>      </w:t>
      </w:r>
      <w:r w:rsidRPr="00E962DB">
        <w:rPr>
          <w:rFonts w:ascii="Calibri" w:hAnsi="Calibri" w:cs="Calibri"/>
          <w:i/>
          <w:iCs/>
          <w:color w:val="222222"/>
          <w:sz w:val="22"/>
          <w:szCs w:val="22"/>
        </w:rPr>
        <w:t>If the review of any or all Lower Value Accounts or Preexisting Entity Accounts is completed prior to </w:t>
      </w:r>
      <w:r w:rsidRPr="00E962DB">
        <w:rPr>
          <w:rStyle w:val="aqj"/>
          <w:rFonts w:ascii="Calibri" w:hAnsi="Calibri" w:cs="Calibri"/>
          <w:i/>
          <w:iCs/>
          <w:color w:val="222222"/>
          <w:sz w:val="22"/>
          <w:szCs w:val="22"/>
        </w:rPr>
        <w:t>31 December 2017</w:t>
      </w:r>
      <w:r w:rsidRPr="00E962DB">
        <w:rPr>
          <w:rFonts w:ascii="Calibri" w:hAnsi="Calibri" w:cs="Calibri"/>
          <w:i/>
          <w:iCs/>
          <w:color w:val="222222"/>
          <w:sz w:val="22"/>
          <w:szCs w:val="22"/>
        </w:rPr>
        <w:t>, such Accounts that have been identified as Reportable Accounts should be reported to the Competent Authority by </w:t>
      </w:r>
      <w:r w:rsidRPr="00E962DB">
        <w:rPr>
          <w:rStyle w:val="aqj"/>
          <w:rFonts w:ascii="Calibri" w:hAnsi="Calibri" w:cs="Calibri"/>
          <w:i/>
          <w:iCs/>
          <w:color w:val="222222"/>
          <w:sz w:val="22"/>
          <w:szCs w:val="22"/>
        </w:rPr>
        <w:t>31 July, 2018</w:t>
      </w:r>
      <w:r w:rsidRPr="00E962DB">
        <w:rPr>
          <w:rFonts w:ascii="Calibri" w:hAnsi="Calibri" w:cs="Calibri"/>
          <w:i/>
          <w:iCs/>
          <w:color w:val="222222"/>
          <w:sz w:val="22"/>
          <w:szCs w:val="22"/>
        </w:rPr>
        <w:t>.</w:t>
      </w:r>
    </w:p>
    <w:p w14:paraId="3DF969B8"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6.</w:t>
      </w:r>
      <w:r w:rsidRPr="00E962DB">
        <w:rPr>
          <w:color w:val="222222"/>
          <w:sz w:val="14"/>
          <w:szCs w:val="14"/>
        </w:rPr>
        <w:t>      </w:t>
      </w:r>
      <w:r w:rsidRPr="00E962DB">
        <w:rPr>
          <w:rFonts w:ascii="Calibri" w:hAnsi="Calibri" w:cs="Calibri"/>
          <w:i/>
          <w:iCs/>
          <w:color w:val="222222"/>
          <w:sz w:val="22"/>
          <w:szCs w:val="22"/>
        </w:rPr>
        <w:t>Financial Institutions must complete their initial registration on or before  </w:t>
      </w:r>
      <w:r w:rsidRPr="00E962DB">
        <w:rPr>
          <w:rStyle w:val="aqj"/>
          <w:rFonts w:ascii="Calibri" w:hAnsi="Calibri" w:cs="Calibri"/>
          <w:i/>
          <w:iCs/>
          <w:color w:val="222222"/>
          <w:sz w:val="22"/>
          <w:szCs w:val="22"/>
        </w:rPr>
        <w:t>30 June 2018</w:t>
      </w:r>
      <w:r w:rsidRPr="00E962DB">
        <w:rPr>
          <w:rFonts w:ascii="Calibri" w:hAnsi="Calibri" w:cs="Calibri"/>
          <w:i/>
          <w:iCs/>
          <w:color w:val="222222"/>
          <w:sz w:val="22"/>
          <w:szCs w:val="22"/>
        </w:rPr>
        <w:t> or, if an entity becomes a Financial Institution after </w:t>
      </w:r>
      <w:r w:rsidRPr="00E962DB">
        <w:rPr>
          <w:rStyle w:val="aqj"/>
          <w:rFonts w:ascii="Calibri" w:hAnsi="Calibri" w:cs="Calibri"/>
          <w:i/>
          <w:iCs/>
          <w:color w:val="222222"/>
          <w:sz w:val="22"/>
          <w:szCs w:val="22"/>
        </w:rPr>
        <w:t>30 April, 2018</w:t>
      </w:r>
      <w:r w:rsidRPr="00E962DB">
        <w:rPr>
          <w:rFonts w:ascii="Calibri" w:hAnsi="Calibri" w:cs="Calibri"/>
          <w:i/>
          <w:iCs/>
          <w:color w:val="222222"/>
          <w:sz w:val="22"/>
          <w:szCs w:val="22"/>
        </w:rPr>
        <w:t>, registration must be completed with the Competent Authority at the next available registration date after the entity became a Financial Institution.</w:t>
      </w:r>
    </w:p>
    <w:p w14:paraId="24598EC3"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7.</w:t>
      </w:r>
      <w:r w:rsidRPr="00E962DB">
        <w:rPr>
          <w:color w:val="222222"/>
          <w:sz w:val="14"/>
          <w:szCs w:val="14"/>
        </w:rPr>
        <w:t>      </w:t>
      </w:r>
      <w:r w:rsidRPr="00E962DB">
        <w:rPr>
          <w:rFonts w:ascii="Calibri" w:hAnsi="Calibri" w:cs="Calibri"/>
          <w:i/>
          <w:iCs/>
          <w:color w:val="222222"/>
          <w:sz w:val="22"/>
          <w:szCs w:val="22"/>
        </w:rPr>
        <w:t>Financial Institutions must complete their reporting to the Competent Authority by </w:t>
      </w:r>
      <w:r w:rsidRPr="00E962DB">
        <w:rPr>
          <w:rStyle w:val="aqj"/>
          <w:rFonts w:ascii="Calibri" w:hAnsi="Calibri" w:cs="Calibri"/>
          <w:i/>
          <w:iCs/>
          <w:color w:val="222222"/>
          <w:sz w:val="22"/>
          <w:szCs w:val="22"/>
        </w:rPr>
        <w:t>31 July 2018</w:t>
      </w:r>
      <w:r w:rsidRPr="00E962DB">
        <w:rPr>
          <w:rFonts w:ascii="Calibri" w:hAnsi="Calibri" w:cs="Calibri"/>
          <w:i/>
          <w:iCs/>
          <w:color w:val="222222"/>
          <w:sz w:val="22"/>
          <w:szCs w:val="22"/>
        </w:rPr>
        <w:t> and at </w:t>
      </w:r>
      <w:r w:rsidRPr="00E962DB">
        <w:rPr>
          <w:rStyle w:val="aqj"/>
          <w:rFonts w:ascii="Calibri" w:hAnsi="Calibri" w:cs="Calibri"/>
          <w:i/>
          <w:iCs/>
          <w:color w:val="222222"/>
          <w:sz w:val="22"/>
          <w:szCs w:val="22"/>
        </w:rPr>
        <w:t>31 July</w:t>
      </w:r>
      <w:r w:rsidRPr="00E962DB">
        <w:rPr>
          <w:rFonts w:ascii="Calibri" w:hAnsi="Calibri" w:cs="Calibri"/>
          <w:i/>
          <w:iCs/>
          <w:color w:val="222222"/>
          <w:sz w:val="22"/>
          <w:szCs w:val="22"/>
        </w:rPr>
        <w:t> of each year thereafter.</w:t>
      </w:r>
    </w:p>
    <w:p w14:paraId="1AC69D4B"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8.</w:t>
      </w:r>
      <w:r w:rsidRPr="00E962DB">
        <w:rPr>
          <w:color w:val="222222"/>
          <w:sz w:val="14"/>
          <w:szCs w:val="14"/>
        </w:rPr>
        <w:t>      </w:t>
      </w:r>
      <w:r w:rsidRPr="00E962DB">
        <w:rPr>
          <w:rFonts w:ascii="Calibri" w:hAnsi="Calibri" w:cs="Calibri"/>
          <w:i/>
          <w:iCs/>
          <w:color w:val="222222"/>
          <w:sz w:val="22"/>
          <w:szCs w:val="22"/>
        </w:rPr>
        <w:t>First Exchanges of information by the Competent Authority to Reportable Jurisdictions will occur on </w:t>
      </w:r>
      <w:r w:rsidRPr="00E962DB">
        <w:rPr>
          <w:rStyle w:val="aqj"/>
          <w:rFonts w:ascii="Calibri" w:hAnsi="Calibri" w:cs="Calibri"/>
          <w:i/>
          <w:iCs/>
          <w:color w:val="222222"/>
          <w:sz w:val="22"/>
          <w:szCs w:val="22"/>
        </w:rPr>
        <w:t>30 September 2018</w:t>
      </w:r>
      <w:r w:rsidRPr="00E962DB">
        <w:rPr>
          <w:rFonts w:ascii="Calibri" w:hAnsi="Calibri" w:cs="Calibri"/>
          <w:i/>
          <w:iCs/>
          <w:color w:val="222222"/>
          <w:sz w:val="22"/>
          <w:szCs w:val="22"/>
        </w:rPr>
        <w:t> and at 30 September of each year thereafter.</w:t>
      </w:r>
    </w:p>
    <w:p w14:paraId="508D008A" w14:textId="77777777" w:rsidR="00130A52" w:rsidRPr="00E962DB" w:rsidRDefault="00130A52" w:rsidP="00130A52">
      <w:pPr>
        <w:pStyle w:val="m114123119415661710msonormal"/>
        <w:shd w:val="clear" w:color="auto" w:fill="FFFFFF"/>
        <w:spacing w:after="200" w:afterAutospacing="0" w:line="276" w:lineRule="atLeast"/>
        <w:ind w:left="1440"/>
        <w:rPr>
          <w:color w:val="222222"/>
          <w:sz w:val="27"/>
          <w:szCs w:val="27"/>
        </w:rPr>
      </w:pPr>
      <w:r w:rsidRPr="00E962DB">
        <w:rPr>
          <w:rFonts w:ascii="Calibri" w:hAnsi="Calibri" w:cs="Calibri"/>
          <w:i/>
          <w:iCs/>
          <w:color w:val="222222"/>
          <w:sz w:val="22"/>
          <w:szCs w:val="22"/>
        </w:rPr>
        <w:t>9.</w:t>
      </w:r>
      <w:r w:rsidRPr="00E962DB">
        <w:rPr>
          <w:color w:val="222222"/>
          <w:sz w:val="14"/>
          <w:szCs w:val="14"/>
        </w:rPr>
        <w:t>      </w:t>
      </w:r>
      <w:r w:rsidRPr="00E962DB">
        <w:rPr>
          <w:rFonts w:ascii="Calibri" w:hAnsi="Calibri" w:cs="Calibri"/>
          <w:i/>
          <w:iCs/>
          <w:color w:val="222222"/>
          <w:sz w:val="22"/>
          <w:szCs w:val="22"/>
        </w:rPr>
        <w:t>A Financial Institution is not required to perform review procedures on any accounts that were closed before 1 July 2017.</w:t>
      </w:r>
    </w:p>
    <w:p w14:paraId="4C5A941C" w14:textId="77777777" w:rsidR="00562F87" w:rsidRPr="00E962DB" w:rsidRDefault="00562F87" w:rsidP="006759C8">
      <w:pPr>
        <w:jc w:val="both"/>
        <w:rPr>
          <w:rFonts w:ascii="Arial" w:hAnsi="Arial" w:cs="Arial"/>
          <w:sz w:val="24"/>
          <w:szCs w:val="24"/>
        </w:rPr>
      </w:pPr>
    </w:p>
    <w:p w14:paraId="49F0D82E" w14:textId="77777777" w:rsidR="00562F87" w:rsidRPr="00E962DB" w:rsidRDefault="00562F87" w:rsidP="007B01E3">
      <w:pPr>
        <w:rPr>
          <w:color w:val="1F497D"/>
        </w:rPr>
      </w:pPr>
    </w:p>
    <w:p w14:paraId="0FC5F4C9" w14:textId="77777777" w:rsidR="00562F87" w:rsidRPr="00E962DB" w:rsidRDefault="00562F87" w:rsidP="007B01E3">
      <w:pPr>
        <w:numPr>
          <w:ilvl w:val="0"/>
          <w:numId w:val="37"/>
        </w:numPr>
        <w:spacing w:after="200" w:line="276" w:lineRule="auto"/>
        <w:contextualSpacing/>
        <w:jc w:val="both"/>
        <w:rPr>
          <w:rFonts w:ascii="Arial" w:hAnsi="Arial" w:cs="Arial"/>
          <w:color w:val="000000"/>
          <w:sz w:val="24"/>
          <w:szCs w:val="24"/>
        </w:rPr>
      </w:pPr>
      <w:r w:rsidRPr="00E962DB">
        <w:rPr>
          <w:rFonts w:ascii="Arial" w:hAnsi="Arial" w:cs="Arial"/>
          <w:color w:val="000000"/>
          <w:sz w:val="24"/>
          <w:szCs w:val="24"/>
        </w:rPr>
        <w:t>First Exchanges of information by the Competent Authority to Reportable Jurisdictions will occur on 30 September 2018 and at 30 September of each year thereafter.</w:t>
      </w:r>
    </w:p>
    <w:p w14:paraId="384C81F6" w14:textId="77777777" w:rsidR="00562F87" w:rsidRPr="00E962DB" w:rsidRDefault="00562F87" w:rsidP="007B01E3">
      <w:pPr>
        <w:ind w:left="360"/>
        <w:jc w:val="both"/>
        <w:rPr>
          <w:rFonts w:ascii="Arial" w:hAnsi="Arial" w:cs="Arial"/>
          <w:color w:val="000000"/>
          <w:sz w:val="24"/>
          <w:szCs w:val="24"/>
        </w:rPr>
      </w:pPr>
    </w:p>
    <w:p w14:paraId="6A228405" w14:textId="77777777" w:rsidR="00562F87" w:rsidRPr="00E962DB" w:rsidRDefault="00562F87" w:rsidP="007B01E3">
      <w:pPr>
        <w:numPr>
          <w:ilvl w:val="0"/>
          <w:numId w:val="37"/>
        </w:numPr>
        <w:spacing w:after="200" w:line="276" w:lineRule="auto"/>
        <w:contextualSpacing/>
        <w:jc w:val="both"/>
        <w:rPr>
          <w:rFonts w:ascii="Arial" w:hAnsi="Arial" w:cs="Arial"/>
          <w:color w:val="000000"/>
          <w:sz w:val="24"/>
          <w:szCs w:val="24"/>
        </w:rPr>
      </w:pPr>
      <w:r w:rsidRPr="00E962DB">
        <w:rPr>
          <w:rFonts w:ascii="Arial" w:hAnsi="Arial" w:cs="Arial"/>
          <w:color w:val="000000"/>
          <w:sz w:val="24"/>
          <w:szCs w:val="24"/>
        </w:rPr>
        <w:t xml:space="preserve">A Financial Institution is not required to perform review procedures on any accounts that were closed before </w:t>
      </w:r>
      <w:r w:rsidRPr="00E962DB">
        <w:rPr>
          <w:rFonts w:ascii="Arial" w:hAnsi="Arial" w:cs="Arial"/>
          <w:b/>
          <w:color w:val="000000"/>
          <w:sz w:val="24"/>
          <w:szCs w:val="24"/>
        </w:rPr>
        <w:t>1 July 2017</w:t>
      </w:r>
      <w:r w:rsidRPr="00E962DB">
        <w:rPr>
          <w:rFonts w:ascii="Arial" w:hAnsi="Arial" w:cs="Arial"/>
          <w:color w:val="000000"/>
          <w:sz w:val="24"/>
          <w:szCs w:val="24"/>
        </w:rPr>
        <w:t>.</w:t>
      </w:r>
    </w:p>
    <w:p w14:paraId="492FA2DC" w14:textId="77777777" w:rsidR="00562F87" w:rsidRPr="00E962DB" w:rsidRDefault="00562F87" w:rsidP="00AA3D62">
      <w:pPr>
        <w:pStyle w:val="Heading1"/>
        <w:jc w:val="center"/>
        <w:rPr>
          <w:lang w:val="en-GB"/>
        </w:rPr>
      </w:pPr>
    </w:p>
    <w:p w14:paraId="4387B31B" w14:textId="77777777" w:rsidR="00562F87" w:rsidRPr="00E962DB" w:rsidRDefault="00562F87" w:rsidP="00065CD7">
      <w:pPr>
        <w:pStyle w:val="Heading1"/>
        <w:keepNext/>
        <w:numPr>
          <w:ilvl w:val="0"/>
          <w:numId w:val="24"/>
        </w:numPr>
        <w:ind w:left="0" w:firstLine="0"/>
        <w:jc w:val="center"/>
        <w:rPr>
          <w:lang w:val="en-GB"/>
        </w:rPr>
      </w:pPr>
      <w:bookmarkStart w:id="110" w:name="_Toc486250860"/>
      <w:bookmarkStart w:id="111" w:name="_Toc492290971"/>
      <w:r w:rsidRPr="00E962DB">
        <w:rPr>
          <w:lang w:val="en-GB"/>
        </w:rPr>
        <w:t>CRS JURISDICTIONS</w:t>
      </w:r>
      <w:bookmarkEnd w:id="110"/>
      <w:bookmarkEnd w:id="111"/>
    </w:p>
    <w:p w14:paraId="47EEDCD6" w14:textId="77777777" w:rsidR="00562F87" w:rsidRPr="00E962DB" w:rsidRDefault="00562F87" w:rsidP="00210CE3">
      <w:pPr>
        <w:pStyle w:val="Heading2"/>
        <w:keepNext/>
        <w:rPr>
          <w:lang w:val="en-GB"/>
        </w:rPr>
      </w:pPr>
      <w:bookmarkStart w:id="112" w:name="_Toc486250861"/>
    </w:p>
    <w:p w14:paraId="319AE944" w14:textId="77777777" w:rsidR="00562F87" w:rsidRPr="00E962DB" w:rsidRDefault="00562F87" w:rsidP="00065CD7">
      <w:pPr>
        <w:pStyle w:val="Heading2"/>
        <w:keepNext/>
        <w:numPr>
          <w:ilvl w:val="0"/>
          <w:numId w:val="26"/>
        </w:numPr>
        <w:rPr>
          <w:lang w:val="en-GB"/>
        </w:rPr>
      </w:pPr>
      <w:bookmarkStart w:id="113" w:name="_Toc492290972"/>
      <w:r w:rsidRPr="00E962DB">
        <w:rPr>
          <w:lang w:val="en-GB"/>
        </w:rPr>
        <w:t>Participating Jurisdictions List</w:t>
      </w:r>
      <w:bookmarkEnd w:id="112"/>
      <w:bookmarkEnd w:id="113"/>
    </w:p>
    <w:p w14:paraId="1EF3A248"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“Participating Jurisdiction” is defined in the CRS Regulations. For the purposes of identifying Participating Jurisdictions, the OECD has provided guidance in the CRS Implementation Handbook. In line with the approach adopted by the CRS Implementation Handbook at paragraph 31, The Bahamas will specify all committed jurisdictions as Participating Jurisdictions.</w:t>
      </w:r>
    </w:p>
    <w:p w14:paraId="03A57010"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7CC8C95C"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Bahamas’ CRS Participating Jurisdiction List can be found at the First Schedule of the CRS Regulations.</w:t>
      </w:r>
    </w:p>
    <w:p w14:paraId="3DE1CD6D"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1A92A3F2" w14:textId="77777777" w:rsidR="00562F87" w:rsidRPr="00E962DB" w:rsidRDefault="00562F87" w:rsidP="00A057DD">
      <w:pPr>
        <w:spacing w:line="360" w:lineRule="auto"/>
        <w:jc w:val="both"/>
        <w:textAlignment w:val="baseline"/>
        <w:rPr>
          <w:rFonts w:ascii="Arial" w:hAnsi="Arial" w:cs="Arial"/>
          <w:b/>
          <w:color w:val="4F81BC"/>
          <w:sz w:val="26"/>
          <w:lang w:val="en-GB"/>
        </w:rPr>
      </w:pPr>
      <w:r w:rsidRPr="00E962DB">
        <w:rPr>
          <w:rFonts w:ascii="Arial" w:hAnsi="Arial" w:cs="Arial"/>
          <w:color w:val="000000"/>
          <w:sz w:val="24"/>
          <w:lang w:val="en-GB"/>
        </w:rPr>
        <w:t xml:space="preserve">In </w:t>
      </w:r>
      <w:r w:rsidRPr="00E962DB">
        <w:rPr>
          <w:rFonts w:ascii="Arial" w:hAnsi="Arial" w:cs="Arial"/>
          <w:sz w:val="24"/>
          <w:lang w:val="en-GB"/>
        </w:rPr>
        <w:t xml:space="preserve">the event of changes to jurisdictions committed to implementation of CRS, the list of Participating Jurisdictions will be amended in the CRS Regulations. </w:t>
      </w:r>
    </w:p>
    <w:p w14:paraId="06A82A1F" w14:textId="77777777" w:rsidR="00562F87" w:rsidRPr="00E962DB" w:rsidRDefault="00562F87" w:rsidP="005D0659">
      <w:pPr>
        <w:pStyle w:val="Heading2"/>
        <w:numPr>
          <w:ilvl w:val="0"/>
          <w:numId w:val="26"/>
        </w:numPr>
        <w:rPr>
          <w:lang w:val="en-GB"/>
        </w:rPr>
      </w:pPr>
      <w:bookmarkStart w:id="114" w:name="_Toc492290973"/>
      <w:r w:rsidRPr="00E962DB">
        <w:rPr>
          <w:lang w:val="en-GB"/>
        </w:rPr>
        <w:t>Reportable Jurisdictions</w:t>
      </w:r>
      <w:bookmarkEnd w:id="114"/>
    </w:p>
    <w:p w14:paraId="7C64AB5E" w14:textId="77777777" w:rsidR="00562F87" w:rsidRPr="00E962DB" w:rsidRDefault="00562F87" w:rsidP="009B2388">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“Reportable Jurisdiction” is defined in the CRS Regulations.</w:t>
      </w:r>
    </w:p>
    <w:p w14:paraId="3D0F399F" w14:textId="77777777" w:rsidR="00562F87" w:rsidRPr="00E962DB" w:rsidRDefault="00562F87" w:rsidP="009B2388">
      <w:pPr>
        <w:spacing w:line="360" w:lineRule="auto"/>
        <w:jc w:val="both"/>
        <w:textAlignment w:val="baseline"/>
        <w:rPr>
          <w:rFonts w:ascii="Arial" w:hAnsi="Arial" w:cs="Arial"/>
          <w:color w:val="000000"/>
          <w:sz w:val="24"/>
          <w:lang w:val="en-GB"/>
        </w:rPr>
      </w:pPr>
    </w:p>
    <w:p w14:paraId="0C226800" w14:textId="77777777" w:rsidR="00562F87" w:rsidRPr="00E962DB" w:rsidRDefault="00562F87" w:rsidP="009B2388">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A Reportable Jurisdiction is any jurisdiction with which:</w:t>
      </w:r>
    </w:p>
    <w:p w14:paraId="1EFC764F" w14:textId="77777777" w:rsidR="00562F87" w:rsidRPr="00E962DB" w:rsidRDefault="00562F87" w:rsidP="009B2388">
      <w:pPr>
        <w:pStyle w:val="ListParagraph"/>
        <w:numPr>
          <w:ilvl w:val="0"/>
          <w:numId w:val="8"/>
        </w:num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Bahamas has a Competent Authority Agreement (CAA) agreement in place;</w:t>
      </w:r>
    </w:p>
    <w:p w14:paraId="565371EA" w14:textId="77777777" w:rsidR="00562F87" w:rsidRPr="00E962DB" w:rsidRDefault="00562F87" w:rsidP="009B2388">
      <w:pPr>
        <w:pStyle w:val="ListParagraph"/>
        <w:numPr>
          <w:ilvl w:val="0"/>
          <w:numId w:val="8"/>
        </w:num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there is an obligation in place to provide the due diligence information specified in Section II of CRS; and </w:t>
      </w:r>
    </w:p>
    <w:p w14:paraId="5A460735" w14:textId="77777777" w:rsidR="00562F87" w:rsidRPr="00E962DB" w:rsidRDefault="00562F87" w:rsidP="009B2388">
      <w:pPr>
        <w:pStyle w:val="ListParagraph"/>
        <w:numPr>
          <w:ilvl w:val="0"/>
          <w:numId w:val="8"/>
        </w:num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which is identified as such in the list published under the CRS Regulations.</w:t>
      </w:r>
    </w:p>
    <w:p w14:paraId="4B8F56FE" w14:textId="77777777" w:rsidR="00562F87" w:rsidRPr="00E962DB" w:rsidRDefault="00562F87" w:rsidP="00731D88">
      <w:pPr>
        <w:spacing w:line="360" w:lineRule="auto"/>
        <w:ind w:left="360"/>
        <w:jc w:val="both"/>
        <w:textAlignment w:val="baseline"/>
        <w:rPr>
          <w:rFonts w:ascii="Arial" w:hAnsi="Arial" w:cs="Arial"/>
          <w:color w:val="000000"/>
          <w:sz w:val="24"/>
          <w:lang w:val="en-GB"/>
        </w:rPr>
      </w:pPr>
    </w:p>
    <w:p w14:paraId="550926D6" w14:textId="77777777" w:rsidR="00562F87" w:rsidRPr="00E962DB" w:rsidRDefault="00562F87" w:rsidP="009B2388">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CRS Reportable Jurisdiction List can be found at the Second Schedule of the CRS Regulations.</w:t>
      </w:r>
    </w:p>
    <w:p w14:paraId="5B23D467" w14:textId="77777777" w:rsidR="00562F87" w:rsidRPr="00E962DB" w:rsidRDefault="00562F87" w:rsidP="009B2388">
      <w:pPr>
        <w:spacing w:line="360" w:lineRule="auto"/>
        <w:jc w:val="both"/>
        <w:textAlignment w:val="baseline"/>
        <w:rPr>
          <w:rFonts w:ascii="Arial" w:hAnsi="Arial" w:cs="Arial"/>
          <w:color w:val="000000"/>
          <w:sz w:val="24"/>
          <w:lang w:val="en-GB"/>
        </w:rPr>
      </w:pPr>
    </w:p>
    <w:p w14:paraId="08986C81" w14:textId="77777777" w:rsidR="00562F87" w:rsidRPr="00E962DB" w:rsidRDefault="00562F87" w:rsidP="009B2388">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Reportable Jurisdiction List will be amended, as required, and the requisite notice of any amendments will be provided to Financial Institutions by The Bahamas Competent Authority.</w:t>
      </w:r>
    </w:p>
    <w:p w14:paraId="5A8758B8" w14:textId="77777777" w:rsidR="00562F87" w:rsidRPr="00E962DB" w:rsidRDefault="00562F87" w:rsidP="00AA3D62">
      <w:pPr>
        <w:textAlignment w:val="baseline"/>
        <w:rPr>
          <w:rFonts w:ascii="Arial" w:hAnsi="Arial" w:cs="Arial"/>
          <w:b/>
          <w:color w:val="4F81BC"/>
          <w:spacing w:val="-1"/>
          <w:sz w:val="26"/>
          <w:lang w:val="en-GB"/>
        </w:rPr>
      </w:pPr>
    </w:p>
    <w:p w14:paraId="15636C1B" w14:textId="77777777" w:rsidR="00562F87" w:rsidRPr="00E962DB" w:rsidRDefault="00562F87" w:rsidP="005D0659">
      <w:pPr>
        <w:pStyle w:val="Heading1"/>
        <w:numPr>
          <w:ilvl w:val="0"/>
          <w:numId w:val="24"/>
        </w:numPr>
        <w:ind w:left="0" w:firstLine="0"/>
        <w:jc w:val="center"/>
        <w:rPr>
          <w:lang w:val="en-GB"/>
        </w:rPr>
      </w:pPr>
      <w:bookmarkStart w:id="115" w:name="_Toc492290974"/>
      <w:r w:rsidRPr="00E962DB">
        <w:rPr>
          <w:lang w:val="en-GB"/>
        </w:rPr>
        <w:t>GUIDANCE ON TECHNICAL ISSUES</w:t>
      </w:r>
      <w:bookmarkEnd w:id="115"/>
    </w:p>
    <w:p w14:paraId="2236F272" w14:textId="77777777" w:rsidR="00562F87" w:rsidRPr="00E962DB" w:rsidRDefault="00562F87" w:rsidP="00A741DF">
      <w:pPr>
        <w:spacing w:line="360" w:lineRule="auto"/>
        <w:jc w:val="both"/>
        <w:textAlignment w:val="baseline"/>
        <w:rPr>
          <w:rFonts w:ascii="Arial" w:hAnsi="Arial" w:cs="Arial"/>
          <w:b/>
          <w:color w:val="00B0F0"/>
          <w:sz w:val="24"/>
          <w:szCs w:val="24"/>
        </w:rPr>
      </w:pPr>
    </w:p>
    <w:p w14:paraId="30FFC074" w14:textId="77777777" w:rsidR="00562F87" w:rsidRPr="00E962DB" w:rsidRDefault="00562F87" w:rsidP="008D1077">
      <w:pPr>
        <w:pStyle w:val="Heading2"/>
        <w:numPr>
          <w:ilvl w:val="0"/>
          <w:numId w:val="27"/>
        </w:numPr>
      </w:pPr>
      <w:bookmarkStart w:id="116" w:name="_Toc492290975"/>
      <w:r w:rsidRPr="00E962DB">
        <w:t>Self-Certifications</w:t>
      </w:r>
      <w:bookmarkEnd w:id="116"/>
    </w:p>
    <w:p w14:paraId="5E86EF17" w14:textId="77777777" w:rsidR="00562F87" w:rsidRPr="00E962DB" w:rsidRDefault="00562F87" w:rsidP="00A741DF">
      <w:pPr>
        <w:spacing w:line="360" w:lineRule="auto"/>
        <w:jc w:val="both"/>
        <w:textAlignment w:val="baseline"/>
        <w:rPr>
          <w:rFonts w:ascii="Arial" w:hAnsi="Arial" w:cs="Arial"/>
          <w:sz w:val="24"/>
          <w:szCs w:val="24"/>
        </w:rPr>
      </w:pPr>
      <w:r w:rsidRPr="00E962DB">
        <w:rPr>
          <w:rFonts w:ascii="Arial" w:hAnsi="Arial" w:cs="Arial"/>
          <w:sz w:val="24"/>
          <w:szCs w:val="24"/>
        </w:rPr>
        <w:t>Self-certifications should be obtained as part of a Financial Institution’s account opening procedures. Where it is not possible to obtain a self-certification on ‘day one’ of the account opening process, one should be obtained as soon as practicable, and in any event, no later than 90 days after the account has been opened.</w:t>
      </w:r>
    </w:p>
    <w:p w14:paraId="798F3419" w14:textId="77777777" w:rsidR="00562F87" w:rsidRPr="00E962DB" w:rsidRDefault="00562F87" w:rsidP="00AA3D62">
      <w:pPr>
        <w:tabs>
          <w:tab w:val="left" w:pos="9270"/>
        </w:tabs>
        <w:spacing w:line="360" w:lineRule="auto"/>
        <w:jc w:val="both"/>
        <w:textAlignment w:val="baseline"/>
        <w:rPr>
          <w:rFonts w:ascii="Arial" w:hAnsi="Arial" w:cs="Arial"/>
          <w:sz w:val="24"/>
          <w:szCs w:val="24"/>
        </w:rPr>
      </w:pPr>
    </w:p>
    <w:p w14:paraId="05CE8EC2" w14:textId="38BF8961" w:rsidR="00562F87" w:rsidRPr="00E962DB" w:rsidRDefault="00562F87" w:rsidP="00A741DF">
      <w:pPr>
        <w:spacing w:line="360" w:lineRule="auto"/>
        <w:jc w:val="both"/>
        <w:textAlignment w:val="baseline"/>
        <w:rPr>
          <w:rFonts w:ascii="Arial" w:hAnsi="Arial" w:cs="Arial"/>
          <w:sz w:val="24"/>
          <w:szCs w:val="24"/>
        </w:rPr>
      </w:pPr>
      <w:r w:rsidRPr="00E962DB">
        <w:rPr>
          <w:rFonts w:ascii="Arial" w:hAnsi="Arial" w:cs="Arial"/>
          <w:sz w:val="24"/>
          <w:szCs w:val="24"/>
        </w:rPr>
        <w:t>For New Accounts a self-certification containing both the TIN(s) (where issued by the jurisdiction(s) in question), and date of birth (in the case of an individual) are required to be obtained</w:t>
      </w:r>
      <w:r w:rsidR="00207F68" w:rsidRPr="00E962DB">
        <w:rPr>
          <w:rFonts w:ascii="Arial" w:hAnsi="Arial" w:cs="Arial"/>
          <w:sz w:val="24"/>
          <w:szCs w:val="24"/>
        </w:rPr>
        <w:t xml:space="preserve"> (Refer to Commentary Section IV pages 127-134)</w:t>
      </w:r>
      <w:r w:rsidRPr="00E962DB">
        <w:rPr>
          <w:rFonts w:ascii="Arial" w:hAnsi="Arial" w:cs="Arial"/>
          <w:sz w:val="24"/>
          <w:szCs w:val="24"/>
        </w:rPr>
        <w:t>.</w:t>
      </w:r>
    </w:p>
    <w:p w14:paraId="60475CB3" w14:textId="77777777" w:rsidR="00562F87" w:rsidRPr="00E962DB" w:rsidRDefault="00562F87" w:rsidP="00A741DF">
      <w:pPr>
        <w:spacing w:line="360" w:lineRule="auto"/>
        <w:jc w:val="both"/>
        <w:textAlignment w:val="baseline"/>
        <w:rPr>
          <w:rFonts w:ascii="Arial" w:hAnsi="Arial" w:cs="Arial"/>
          <w:sz w:val="24"/>
          <w:szCs w:val="24"/>
        </w:rPr>
      </w:pPr>
    </w:p>
    <w:p w14:paraId="2CBC3005" w14:textId="77777777" w:rsidR="000821DF" w:rsidRPr="00E962DB" w:rsidRDefault="000821DF" w:rsidP="000821DF">
      <w:pPr>
        <w:autoSpaceDE w:val="0"/>
        <w:autoSpaceDN w:val="0"/>
        <w:adjustRightInd w:val="0"/>
        <w:rPr>
          <w:rFonts w:ascii="Arial" w:hAnsi="Arial" w:cs="Arial"/>
          <w:b/>
          <w:iCs/>
          <w:sz w:val="24"/>
          <w:szCs w:val="24"/>
        </w:rPr>
      </w:pPr>
      <w:r w:rsidRPr="00E962DB">
        <w:rPr>
          <w:rFonts w:ascii="Arial" w:hAnsi="Arial" w:cs="Arial"/>
          <w:b/>
          <w:iCs/>
          <w:sz w:val="24"/>
          <w:szCs w:val="24"/>
        </w:rPr>
        <w:t>Reasonableness of self-certifications</w:t>
      </w:r>
    </w:p>
    <w:p w14:paraId="4A8B065C" w14:textId="77777777" w:rsidR="000821DF" w:rsidRPr="00E962DB" w:rsidRDefault="000821DF" w:rsidP="000821DF">
      <w:pPr>
        <w:autoSpaceDE w:val="0"/>
        <w:autoSpaceDN w:val="0"/>
        <w:adjustRightInd w:val="0"/>
        <w:rPr>
          <w:rFonts w:ascii="Arial" w:hAnsi="Arial" w:cs="Arial"/>
          <w:i/>
          <w:iCs/>
          <w:sz w:val="24"/>
          <w:szCs w:val="24"/>
        </w:rPr>
      </w:pPr>
    </w:p>
    <w:p w14:paraId="527FC965" w14:textId="2B0CEEBE" w:rsidR="000821DF" w:rsidRPr="00E962DB" w:rsidRDefault="000821DF" w:rsidP="00E962DB">
      <w:pPr>
        <w:autoSpaceDE w:val="0"/>
        <w:autoSpaceDN w:val="0"/>
        <w:adjustRightInd w:val="0"/>
        <w:spacing w:line="480" w:lineRule="auto"/>
        <w:rPr>
          <w:rFonts w:ascii="Arial" w:hAnsi="Arial" w:cs="Arial"/>
          <w:sz w:val="24"/>
          <w:szCs w:val="24"/>
        </w:rPr>
      </w:pPr>
      <w:r w:rsidRPr="00E962DB">
        <w:rPr>
          <w:rFonts w:ascii="Arial" w:hAnsi="Arial" w:cs="Arial"/>
          <w:sz w:val="24"/>
          <w:szCs w:val="24"/>
        </w:rPr>
        <w:t>Upon account opening, once the Reporting Financial Institution has obtained a self-certification that allows it to determine the Account Holder’s residence(s) for tax purposes, the Reporting Financial Institution must confirm the reasonableness of such self-certification based on the information obtained in connection with the opening of the account, including any documentation collected pursuant to AML/KYC Procedures (i.e. the “reasonableness” test).</w:t>
      </w:r>
      <w:r w:rsidR="00207F68" w:rsidRPr="00E962DB">
        <w:rPr>
          <w:rFonts w:ascii="Arial" w:hAnsi="Arial" w:cs="Arial"/>
          <w:sz w:val="24"/>
          <w:szCs w:val="24"/>
        </w:rPr>
        <w:t xml:space="preserve"> </w:t>
      </w:r>
    </w:p>
    <w:p w14:paraId="0B5DF698" w14:textId="77777777" w:rsidR="000821DF" w:rsidRPr="00E962DB" w:rsidRDefault="000821DF" w:rsidP="00E962DB">
      <w:pPr>
        <w:autoSpaceDE w:val="0"/>
        <w:autoSpaceDN w:val="0"/>
        <w:adjustRightInd w:val="0"/>
        <w:spacing w:line="480" w:lineRule="auto"/>
        <w:rPr>
          <w:rFonts w:ascii="Arial" w:hAnsi="Arial" w:cs="Arial"/>
          <w:sz w:val="24"/>
          <w:szCs w:val="24"/>
        </w:rPr>
      </w:pPr>
    </w:p>
    <w:p w14:paraId="2EC9E2F6" w14:textId="263067B4" w:rsidR="000821DF" w:rsidRPr="00E962DB" w:rsidRDefault="000821DF" w:rsidP="00E962DB">
      <w:pPr>
        <w:autoSpaceDE w:val="0"/>
        <w:autoSpaceDN w:val="0"/>
        <w:adjustRightInd w:val="0"/>
        <w:spacing w:line="480" w:lineRule="auto"/>
        <w:rPr>
          <w:rFonts w:ascii="Arial" w:hAnsi="Arial" w:cs="Arial"/>
          <w:sz w:val="24"/>
          <w:szCs w:val="24"/>
        </w:rPr>
      </w:pPr>
      <w:r w:rsidRPr="00E962DB">
        <w:rPr>
          <w:rFonts w:ascii="Arial" w:hAnsi="Arial" w:cs="Arial"/>
          <w:sz w:val="24"/>
          <w:szCs w:val="24"/>
        </w:rPr>
        <w:t>A Reporting Financial Institution is considered to have confirmed the “reasonableness” of a self-certification if, in the course of account opening procedures and upon review of the information obtained in connection with the opening of the account (including any documentation collected pursuant to AML/KYC Procedures), it does not know or have reason to know that the self-certification is incorrect or unreliable (see paragraphs 2-3 of the Commentary on Section VII). Reporting Financial Institutions are not expected to carry out an independent legal analysis of relevant tax laws to confirm thereason</w:t>
      </w:r>
      <w:r w:rsidR="00207F68" w:rsidRPr="00E962DB">
        <w:rPr>
          <w:rFonts w:ascii="Arial" w:hAnsi="Arial" w:cs="Arial"/>
          <w:sz w:val="24"/>
          <w:szCs w:val="24"/>
        </w:rPr>
        <w:t>3</w:t>
      </w:r>
      <w:r w:rsidRPr="00E962DB">
        <w:rPr>
          <w:rFonts w:ascii="Arial" w:hAnsi="Arial" w:cs="Arial"/>
          <w:sz w:val="24"/>
          <w:szCs w:val="24"/>
        </w:rPr>
        <w:t>ableness of a self-certification.</w:t>
      </w:r>
    </w:p>
    <w:p w14:paraId="1214C49F" w14:textId="77777777" w:rsidR="000821DF" w:rsidRPr="00E962DB" w:rsidRDefault="000821DF" w:rsidP="00E962DB">
      <w:pPr>
        <w:autoSpaceDE w:val="0"/>
        <w:autoSpaceDN w:val="0"/>
        <w:adjustRightInd w:val="0"/>
        <w:spacing w:line="480" w:lineRule="auto"/>
        <w:rPr>
          <w:rFonts w:ascii="Arial" w:hAnsi="Arial" w:cs="Arial"/>
          <w:sz w:val="24"/>
          <w:szCs w:val="24"/>
        </w:rPr>
      </w:pPr>
    </w:p>
    <w:p w14:paraId="41C7C5A7" w14:textId="77777777" w:rsidR="000821DF" w:rsidRPr="00E962DB" w:rsidRDefault="000821DF" w:rsidP="00E962DB">
      <w:pPr>
        <w:autoSpaceDE w:val="0"/>
        <w:autoSpaceDN w:val="0"/>
        <w:adjustRightInd w:val="0"/>
        <w:spacing w:line="480" w:lineRule="auto"/>
        <w:rPr>
          <w:rFonts w:ascii="Arial" w:hAnsi="Arial" w:cs="Arial"/>
          <w:sz w:val="24"/>
          <w:szCs w:val="24"/>
        </w:rPr>
      </w:pPr>
      <w:r w:rsidRPr="00E962DB">
        <w:rPr>
          <w:rFonts w:ascii="Arial" w:hAnsi="Arial" w:cs="Arial"/>
          <w:sz w:val="24"/>
          <w:szCs w:val="24"/>
        </w:rPr>
        <w:t>The following examples illustrate the application of the “reasonableness” test:</w:t>
      </w:r>
    </w:p>
    <w:p w14:paraId="27F672DC" w14:textId="77777777" w:rsidR="000821DF" w:rsidRPr="00E962DB" w:rsidRDefault="000821DF" w:rsidP="00E962DB">
      <w:pPr>
        <w:autoSpaceDE w:val="0"/>
        <w:autoSpaceDN w:val="0"/>
        <w:adjustRightInd w:val="0"/>
        <w:spacing w:line="480" w:lineRule="auto"/>
        <w:rPr>
          <w:rFonts w:ascii="Arial" w:hAnsi="Arial" w:cs="Arial"/>
          <w:sz w:val="24"/>
          <w:szCs w:val="24"/>
        </w:rPr>
      </w:pPr>
    </w:p>
    <w:p w14:paraId="34A11792" w14:textId="77777777" w:rsidR="000821DF" w:rsidRPr="00E962DB" w:rsidRDefault="000821DF" w:rsidP="00E962DB">
      <w:pPr>
        <w:autoSpaceDE w:val="0"/>
        <w:autoSpaceDN w:val="0"/>
        <w:adjustRightInd w:val="0"/>
        <w:spacing w:line="480" w:lineRule="auto"/>
        <w:ind w:firstLine="720"/>
        <w:rPr>
          <w:rFonts w:ascii="Arial" w:hAnsi="Arial" w:cs="Arial"/>
          <w:sz w:val="24"/>
          <w:szCs w:val="24"/>
        </w:rPr>
      </w:pPr>
      <w:r w:rsidRPr="00E962DB">
        <w:rPr>
          <w:rFonts w:ascii="Arial" w:hAnsi="Arial" w:cs="Arial"/>
          <w:sz w:val="24"/>
          <w:szCs w:val="24"/>
        </w:rPr>
        <w:t>• Example 1: A Reporting Financial Institution obtains a selfcertification</w:t>
      </w:r>
    </w:p>
    <w:p w14:paraId="231217FA" w14:textId="77777777" w:rsidR="000821DF" w:rsidRPr="00E962DB" w:rsidRDefault="000821DF" w:rsidP="00E962DB">
      <w:pPr>
        <w:autoSpaceDE w:val="0"/>
        <w:autoSpaceDN w:val="0"/>
        <w:adjustRightInd w:val="0"/>
        <w:spacing w:line="480" w:lineRule="auto"/>
        <w:ind w:firstLine="720"/>
        <w:rPr>
          <w:rFonts w:ascii="Arial" w:hAnsi="Arial" w:cs="Arial"/>
          <w:sz w:val="24"/>
          <w:szCs w:val="24"/>
        </w:rPr>
      </w:pPr>
      <w:r w:rsidRPr="00E962DB">
        <w:rPr>
          <w:rFonts w:ascii="Arial" w:hAnsi="Arial" w:cs="Arial"/>
          <w:sz w:val="24"/>
          <w:szCs w:val="24"/>
        </w:rPr>
        <w:t>from the Account Holder upon account opening. The</w:t>
      </w:r>
    </w:p>
    <w:p w14:paraId="082EA6CB"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jurisdiction of the residence address contained in the self-certification</w:t>
      </w:r>
    </w:p>
    <w:p w14:paraId="00C16C7A"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conflicts with that contained in the documentation collected pursuant</w:t>
      </w:r>
    </w:p>
    <w:p w14:paraId="176B36AD"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to AML/KYC Procedures. Because of the conflicting information, the</w:t>
      </w:r>
    </w:p>
    <w:p w14:paraId="071D40BA"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self-certification is incorrect or unreliable and, as a consequence, it</w:t>
      </w:r>
    </w:p>
    <w:p w14:paraId="0848CF31"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fails the reasonableness test.</w:t>
      </w:r>
    </w:p>
    <w:p w14:paraId="6C413BB0"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p>
    <w:p w14:paraId="1D9BCFEE" w14:textId="7BA90BB6"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 Example 2: A Reporting Financial Institution obtains a self</w:t>
      </w:r>
      <w:r w:rsidR="00207F68" w:rsidRPr="00E962DB">
        <w:rPr>
          <w:rFonts w:ascii="Arial" w:hAnsi="Arial" w:cs="Arial"/>
          <w:sz w:val="24"/>
          <w:szCs w:val="24"/>
        </w:rPr>
        <w:t>-</w:t>
      </w:r>
      <w:r w:rsidRPr="00E962DB">
        <w:rPr>
          <w:rFonts w:ascii="Arial" w:hAnsi="Arial" w:cs="Arial"/>
          <w:sz w:val="24"/>
          <w:szCs w:val="24"/>
        </w:rPr>
        <w:t>certification</w:t>
      </w:r>
    </w:p>
    <w:p w14:paraId="7D84986D"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from the Account Holder upon account opening. The</w:t>
      </w:r>
    </w:p>
    <w:p w14:paraId="62D88BED"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residence address contained in the self-certification is not in the</w:t>
      </w:r>
    </w:p>
    <w:p w14:paraId="287CE687"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jurisdiction in which the Account Holder claims to be resident for tax</w:t>
      </w:r>
    </w:p>
    <w:p w14:paraId="5AA4A44E"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purposes. Because of the conflicting information, the self-certification</w:t>
      </w:r>
    </w:p>
    <w:p w14:paraId="79402750"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fails the reasonableness test.</w:t>
      </w:r>
    </w:p>
    <w:p w14:paraId="2D31263E"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p>
    <w:p w14:paraId="5194EDDE" w14:textId="77777777" w:rsidR="000821DF" w:rsidRPr="00E962DB" w:rsidRDefault="000821DF" w:rsidP="00E962DB">
      <w:pPr>
        <w:autoSpaceDE w:val="0"/>
        <w:autoSpaceDN w:val="0"/>
        <w:adjustRightInd w:val="0"/>
        <w:spacing w:line="480" w:lineRule="auto"/>
        <w:rPr>
          <w:rFonts w:ascii="Arial" w:hAnsi="Arial" w:cs="Arial"/>
          <w:sz w:val="24"/>
          <w:szCs w:val="24"/>
        </w:rPr>
      </w:pPr>
      <w:r w:rsidRPr="00E962DB">
        <w:rPr>
          <w:rFonts w:ascii="Arial" w:hAnsi="Arial" w:cs="Arial"/>
          <w:sz w:val="24"/>
          <w:szCs w:val="24"/>
        </w:rPr>
        <w:t xml:space="preserve">In the case of a self-certification that would otherwise fail the reasonableness test, it is expected that in the course of the account opening procedures the Reporting Financial Institution would obtain either </w:t>
      </w:r>
      <w:r w:rsidRPr="00E962DB">
        <w:rPr>
          <w:rFonts w:ascii="Arial" w:hAnsi="Arial" w:cs="Arial"/>
          <w:i/>
          <w:iCs/>
          <w:sz w:val="24"/>
          <w:szCs w:val="24"/>
        </w:rPr>
        <w:t xml:space="preserve">(i) </w:t>
      </w:r>
      <w:r w:rsidRPr="00E962DB">
        <w:rPr>
          <w:rFonts w:ascii="Arial" w:hAnsi="Arial" w:cs="Arial"/>
          <w:sz w:val="24"/>
          <w:szCs w:val="24"/>
        </w:rPr>
        <w:t>a valid</w:t>
      </w:r>
    </w:p>
    <w:p w14:paraId="59763337" w14:textId="77777777" w:rsidR="000821DF" w:rsidRPr="00E962DB" w:rsidRDefault="000821DF" w:rsidP="00E962DB">
      <w:pPr>
        <w:autoSpaceDE w:val="0"/>
        <w:autoSpaceDN w:val="0"/>
        <w:adjustRightInd w:val="0"/>
        <w:spacing w:line="480" w:lineRule="auto"/>
        <w:rPr>
          <w:rFonts w:ascii="Arial" w:hAnsi="Arial" w:cs="Arial"/>
          <w:sz w:val="24"/>
          <w:szCs w:val="24"/>
        </w:rPr>
      </w:pPr>
      <w:r w:rsidRPr="00E962DB">
        <w:rPr>
          <w:rFonts w:ascii="Arial" w:hAnsi="Arial" w:cs="Arial"/>
          <w:sz w:val="24"/>
          <w:szCs w:val="24"/>
        </w:rPr>
        <w:t xml:space="preserve">self-certification, or </w:t>
      </w:r>
      <w:r w:rsidRPr="00E962DB">
        <w:rPr>
          <w:rFonts w:ascii="Arial" w:hAnsi="Arial" w:cs="Arial"/>
          <w:i/>
          <w:iCs/>
          <w:sz w:val="24"/>
          <w:szCs w:val="24"/>
        </w:rPr>
        <w:t xml:space="preserve">(ii) </w:t>
      </w:r>
      <w:r w:rsidRPr="00E962DB">
        <w:rPr>
          <w:rFonts w:ascii="Arial" w:hAnsi="Arial" w:cs="Arial"/>
          <w:sz w:val="24"/>
          <w:szCs w:val="24"/>
        </w:rPr>
        <w:t xml:space="preserve">a reasonable explanation and documentation (as appropriate) supporting the reasonableness of the self-certification (and retaina copy or a notation of such explanation and documentation). </w:t>
      </w:r>
    </w:p>
    <w:p w14:paraId="2697AF75" w14:textId="77777777" w:rsidR="000821DF" w:rsidRPr="00E962DB" w:rsidRDefault="000821DF" w:rsidP="00E962DB">
      <w:pPr>
        <w:autoSpaceDE w:val="0"/>
        <w:autoSpaceDN w:val="0"/>
        <w:adjustRightInd w:val="0"/>
        <w:spacing w:line="480" w:lineRule="auto"/>
        <w:rPr>
          <w:rFonts w:ascii="Arial" w:hAnsi="Arial" w:cs="Arial"/>
          <w:sz w:val="24"/>
          <w:szCs w:val="24"/>
        </w:rPr>
      </w:pPr>
    </w:p>
    <w:p w14:paraId="2432D341" w14:textId="77777777" w:rsidR="000821DF" w:rsidRPr="00E962DB" w:rsidRDefault="000821DF" w:rsidP="00E962DB">
      <w:pPr>
        <w:autoSpaceDE w:val="0"/>
        <w:autoSpaceDN w:val="0"/>
        <w:adjustRightInd w:val="0"/>
        <w:spacing w:line="480" w:lineRule="auto"/>
        <w:rPr>
          <w:rFonts w:ascii="Arial" w:hAnsi="Arial" w:cs="Arial"/>
          <w:sz w:val="24"/>
          <w:szCs w:val="24"/>
        </w:rPr>
      </w:pPr>
      <w:r w:rsidRPr="00E962DB">
        <w:rPr>
          <w:rFonts w:ascii="Arial" w:hAnsi="Arial" w:cs="Arial"/>
          <w:sz w:val="24"/>
          <w:szCs w:val="24"/>
        </w:rPr>
        <w:t>Examples of such “reasonable explanation” include a statement by the individual that he or she –</w:t>
      </w:r>
    </w:p>
    <w:p w14:paraId="4CDF1D7C"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(1) </w:t>
      </w:r>
      <w:r w:rsidRPr="00E962DB">
        <w:rPr>
          <w:rFonts w:ascii="Arial" w:hAnsi="Arial" w:cs="Arial"/>
          <w:sz w:val="24"/>
          <w:szCs w:val="24"/>
        </w:rPr>
        <w:t xml:space="preserve">is a student at an educational institution in the relevant jurisdiction and holds the appropriate visa (if applicable); </w:t>
      </w:r>
    </w:p>
    <w:p w14:paraId="267AF2B8"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(2) </w:t>
      </w:r>
      <w:r w:rsidRPr="00E962DB">
        <w:rPr>
          <w:rFonts w:ascii="Arial" w:hAnsi="Arial" w:cs="Arial"/>
          <w:sz w:val="24"/>
          <w:szCs w:val="24"/>
        </w:rPr>
        <w:t xml:space="preserve">is a teacher, trainee, or intern at an educational institution in the relevant jurisdiction or a participant in an educational or cultural exchange visitor program, and holds the appropriate visa (if applicable); </w:t>
      </w:r>
    </w:p>
    <w:p w14:paraId="55BE3A0F"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(3) </w:t>
      </w:r>
      <w:r w:rsidRPr="00E962DB">
        <w:rPr>
          <w:rFonts w:ascii="Arial" w:hAnsi="Arial" w:cs="Arial"/>
          <w:sz w:val="24"/>
          <w:szCs w:val="24"/>
        </w:rPr>
        <w:t xml:space="preserve">is a foreign individual assigned to a diplomatic post or a position in a consulate or embassy in the relevant jurisdiction; or </w:t>
      </w:r>
    </w:p>
    <w:p w14:paraId="7DC63AA5"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(4) </w:t>
      </w:r>
      <w:r w:rsidRPr="00E962DB">
        <w:rPr>
          <w:rFonts w:ascii="Arial" w:hAnsi="Arial" w:cs="Arial"/>
          <w:sz w:val="24"/>
          <w:szCs w:val="24"/>
        </w:rPr>
        <w:t>is a frontier worker or employee working on a truck or train travelling between jurisdictions.</w:t>
      </w:r>
    </w:p>
    <w:p w14:paraId="38C4CD0B" w14:textId="77777777" w:rsidR="000821DF" w:rsidRPr="00E962DB" w:rsidRDefault="000821DF" w:rsidP="00E962DB">
      <w:pPr>
        <w:autoSpaceDE w:val="0"/>
        <w:autoSpaceDN w:val="0"/>
        <w:adjustRightInd w:val="0"/>
        <w:spacing w:line="480" w:lineRule="auto"/>
        <w:rPr>
          <w:rFonts w:ascii="Arial" w:hAnsi="Arial" w:cs="Arial"/>
          <w:sz w:val="24"/>
          <w:szCs w:val="24"/>
        </w:rPr>
      </w:pPr>
    </w:p>
    <w:p w14:paraId="70FAF7A2" w14:textId="77777777" w:rsidR="000821DF" w:rsidRPr="00E962DB" w:rsidRDefault="000821DF" w:rsidP="00E962DB">
      <w:pPr>
        <w:autoSpaceDE w:val="0"/>
        <w:autoSpaceDN w:val="0"/>
        <w:adjustRightInd w:val="0"/>
        <w:spacing w:line="480" w:lineRule="auto"/>
        <w:rPr>
          <w:rFonts w:ascii="Arial" w:hAnsi="Arial" w:cs="Arial"/>
          <w:sz w:val="24"/>
          <w:szCs w:val="24"/>
        </w:rPr>
      </w:pPr>
      <w:r w:rsidRPr="00E962DB">
        <w:rPr>
          <w:rFonts w:ascii="Arial" w:hAnsi="Arial" w:cs="Arial"/>
          <w:sz w:val="24"/>
          <w:szCs w:val="24"/>
        </w:rPr>
        <w:t xml:space="preserve">The following example illustrates the application of this paragraph: </w:t>
      </w:r>
    </w:p>
    <w:p w14:paraId="66FAFD7B" w14:textId="77777777" w:rsidR="000821DF" w:rsidRPr="00E962DB" w:rsidRDefault="000821DF" w:rsidP="00E962DB">
      <w:pPr>
        <w:autoSpaceDE w:val="0"/>
        <w:autoSpaceDN w:val="0"/>
        <w:adjustRightInd w:val="0"/>
        <w:spacing w:line="480" w:lineRule="auto"/>
        <w:rPr>
          <w:rFonts w:ascii="Arial" w:hAnsi="Arial" w:cs="Arial"/>
          <w:sz w:val="24"/>
          <w:szCs w:val="24"/>
        </w:rPr>
      </w:pPr>
    </w:p>
    <w:p w14:paraId="45DB4CCC"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A Reporting Financial Institution obtains a self-certification for the Account Holder upon account opening. The jurisdiction of residence for tax purposes contained in the self-certification conflicts with the residence address contained in the documentation collected pursuant to AML/KYC Procedures. The Account Holder explains that she is a diplomat from a particular jurisdiction and that, as a consequence, she is resident in such jurisdiction; she also presents her diplomatic passport. Because the Reporting Financial Institution obtained a reasonable explanation and documentation</w:t>
      </w:r>
    </w:p>
    <w:p w14:paraId="091E0448" w14:textId="77777777" w:rsidR="000821DF" w:rsidRPr="00E962DB" w:rsidRDefault="000821DF"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supporting the reasonableness of the self-certification, the self-certification passes the reasonableness test.</w:t>
      </w:r>
    </w:p>
    <w:p w14:paraId="0755D029" w14:textId="3706EE90" w:rsidR="00562F87" w:rsidRPr="00E962DB" w:rsidRDefault="000821DF" w:rsidP="00A741DF">
      <w:pPr>
        <w:rPr>
          <w:rFonts w:ascii="Arial" w:hAnsi="Arial" w:cs="Arial"/>
          <w:sz w:val="24"/>
          <w:szCs w:val="24"/>
          <w:lang w:val="en-GB"/>
        </w:rPr>
      </w:pPr>
      <w:r w:rsidRPr="00E962DB">
        <w:rPr>
          <w:rFonts w:ascii="TimesNewRomanPSMT" w:hAnsi="TimesNewRomanPSMT" w:cs="TimesNewRomanPSMT"/>
          <w:sz w:val="21"/>
          <w:szCs w:val="21"/>
        </w:rPr>
        <w:t xml:space="preserve"> </w:t>
      </w:r>
    </w:p>
    <w:p w14:paraId="70E56143" w14:textId="270FDDE2" w:rsidR="00207F68" w:rsidRPr="00E962DB" w:rsidRDefault="00207F68" w:rsidP="00A741DF">
      <w:pPr>
        <w:rPr>
          <w:rFonts w:ascii="Arial" w:hAnsi="Arial" w:cs="Arial"/>
          <w:sz w:val="24"/>
          <w:szCs w:val="24"/>
          <w:lang w:val="en-GB"/>
        </w:rPr>
      </w:pPr>
      <w:r w:rsidRPr="00E962DB">
        <w:rPr>
          <w:rFonts w:ascii="Arial" w:hAnsi="Arial" w:cs="Arial"/>
          <w:sz w:val="24"/>
          <w:szCs w:val="24"/>
          <w:lang w:val="en-GB"/>
        </w:rPr>
        <w:t>Note:</w:t>
      </w:r>
      <w:r w:rsidRPr="00E962DB">
        <w:rPr>
          <w:rFonts w:ascii="Arial" w:hAnsi="Arial" w:cs="Arial"/>
          <w:sz w:val="24"/>
          <w:szCs w:val="24"/>
          <w:lang w:val="en-GB"/>
        </w:rPr>
        <w:tab/>
        <w:t xml:space="preserve">Refer to paragraphs 22-25 on page 133 of The Commentary </w:t>
      </w:r>
    </w:p>
    <w:p w14:paraId="571D6EBE" w14:textId="77777777" w:rsidR="00207F68" w:rsidRPr="00E962DB" w:rsidRDefault="00207F68" w:rsidP="00A741DF">
      <w:pPr>
        <w:rPr>
          <w:rFonts w:ascii="Arial" w:hAnsi="Arial" w:cs="Arial"/>
          <w:sz w:val="24"/>
          <w:szCs w:val="24"/>
          <w:lang w:val="en-GB"/>
        </w:rPr>
      </w:pPr>
    </w:p>
    <w:p w14:paraId="021F5B0A" w14:textId="330F2DCD" w:rsidR="00562F87" w:rsidRPr="00E962DB" w:rsidRDefault="00562F87" w:rsidP="00A741DF">
      <w:pPr>
        <w:rPr>
          <w:rFonts w:ascii="Arial" w:hAnsi="Arial" w:cs="Arial"/>
          <w:sz w:val="24"/>
          <w:szCs w:val="24"/>
          <w:lang w:val="en-GB"/>
        </w:rPr>
      </w:pPr>
      <w:r w:rsidRPr="00E962DB">
        <w:rPr>
          <w:rFonts w:ascii="Arial" w:hAnsi="Arial" w:cs="Arial"/>
          <w:sz w:val="24"/>
          <w:szCs w:val="24"/>
          <w:lang w:val="en-GB"/>
        </w:rPr>
        <w:t>The OECD has provided guidance as to the format for self-certification forms</w:t>
      </w:r>
      <w:r w:rsidR="00207F68" w:rsidRPr="00E962DB">
        <w:rPr>
          <w:rFonts w:ascii="Arial" w:hAnsi="Arial" w:cs="Arial"/>
          <w:sz w:val="24"/>
          <w:szCs w:val="24"/>
          <w:lang w:val="en-GB"/>
        </w:rPr>
        <w:t xml:space="preserve"> which you should be guided by</w:t>
      </w:r>
      <w:r w:rsidRPr="00E962DB">
        <w:rPr>
          <w:rFonts w:ascii="Arial" w:hAnsi="Arial" w:cs="Arial"/>
          <w:sz w:val="24"/>
          <w:szCs w:val="24"/>
          <w:lang w:val="en-GB"/>
        </w:rPr>
        <w:t>:</w:t>
      </w:r>
    </w:p>
    <w:p w14:paraId="07F42D35" w14:textId="77777777" w:rsidR="00562F87" w:rsidRPr="00E962DB" w:rsidRDefault="00562F87" w:rsidP="00A537A8">
      <w:pPr>
        <w:jc w:val="both"/>
        <w:rPr>
          <w:rFonts w:ascii="Arial" w:hAnsi="Arial" w:cs="Arial"/>
          <w:sz w:val="24"/>
          <w:szCs w:val="24"/>
          <w:lang w:val="en-GB"/>
        </w:rPr>
      </w:pPr>
    </w:p>
    <w:p w14:paraId="3D7701EE" w14:textId="77777777" w:rsidR="00562F87" w:rsidRPr="00E962DB" w:rsidRDefault="00562F87" w:rsidP="00A537A8">
      <w:pPr>
        <w:jc w:val="both"/>
        <w:rPr>
          <w:rFonts w:ascii="Arial" w:hAnsi="Arial" w:cs="Arial"/>
          <w:sz w:val="24"/>
          <w:szCs w:val="24"/>
          <w:lang w:val="en-GB"/>
        </w:rPr>
      </w:pPr>
      <w:r w:rsidRPr="00E962DB">
        <w:rPr>
          <w:rFonts w:ascii="Arial" w:hAnsi="Arial" w:cs="Arial"/>
          <w:sz w:val="24"/>
          <w:szCs w:val="24"/>
          <w:lang w:val="en-GB"/>
        </w:rPr>
        <w:t xml:space="preserve">(a) Entity - </w:t>
      </w:r>
      <w:hyperlink r:id="rId20" w:history="1">
        <w:r w:rsidRPr="00E962DB">
          <w:rPr>
            <w:rStyle w:val="Hyperlink"/>
            <w:rFonts w:ascii="Arial" w:hAnsi="Arial" w:cs="Arial"/>
            <w:sz w:val="24"/>
            <w:szCs w:val="24"/>
            <w:lang w:val="en-GB"/>
          </w:rPr>
          <w:t>http://www.oecd.org/tax/automatic-exchange/crs-implementation-and-assistance/CRS_ENTITIES_Self-Cert_Form.pdf</w:t>
        </w:r>
      </w:hyperlink>
      <w:r w:rsidRPr="00E962DB">
        <w:rPr>
          <w:rFonts w:ascii="Arial" w:hAnsi="Arial" w:cs="Arial"/>
          <w:sz w:val="24"/>
          <w:szCs w:val="24"/>
          <w:lang w:val="en-GB"/>
        </w:rPr>
        <w:t xml:space="preserve"> </w:t>
      </w:r>
    </w:p>
    <w:p w14:paraId="1991D05C" w14:textId="77777777" w:rsidR="00562F87" w:rsidRPr="00E962DB" w:rsidRDefault="00562F87" w:rsidP="00A537A8">
      <w:pPr>
        <w:jc w:val="both"/>
        <w:rPr>
          <w:rFonts w:ascii="Arial" w:hAnsi="Arial" w:cs="Arial"/>
          <w:sz w:val="24"/>
          <w:szCs w:val="24"/>
          <w:lang w:val="en-GB"/>
        </w:rPr>
      </w:pPr>
    </w:p>
    <w:p w14:paraId="09F319DD" w14:textId="77777777" w:rsidR="00562F87" w:rsidRPr="00E962DB" w:rsidRDefault="00562F87" w:rsidP="00AA3D62">
      <w:pPr>
        <w:ind w:right="-90"/>
        <w:jc w:val="both"/>
        <w:rPr>
          <w:rFonts w:ascii="Arial" w:hAnsi="Arial" w:cs="Arial"/>
          <w:sz w:val="24"/>
          <w:szCs w:val="24"/>
          <w:lang w:val="en-GB"/>
        </w:rPr>
      </w:pPr>
      <w:r w:rsidRPr="00E962DB">
        <w:rPr>
          <w:rFonts w:ascii="Arial" w:hAnsi="Arial" w:cs="Arial"/>
          <w:sz w:val="24"/>
          <w:szCs w:val="24"/>
          <w:lang w:val="en-GB"/>
        </w:rPr>
        <w:t xml:space="preserve">(b) Individual - </w:t>
      </w:r>
      <w:hyperlink r:id="rId21" w:history="1">
        <w:r w:rsidRPr="00E962DB">
          <w:rPr>
            <w:rStyle w:val="Hyperlink"/>
            <w:rFonts w:ascii="Arial" w:hAnsi="Arial" w:cs="Arial"/>
            <w:sz w:val="24"/>
            <w:szCs w:val="24"/>
            <w:lang w:val="en-GB"/>
          </w:rPr>
          <w:t>http://www.oecd.org/tax/automatic-exchange/crs-implementation-and-assistance/CRS_CONTROLLING_PERSONS_Self-Cert_form.pdf</w:t>
        </w:r>
      </w:hyperlink>
      <w:r w:rsidRPr="00E962DB">
        <w:rPr>
          <w:rFonts w:ascii="Arial" w:hAnsi="Arial" w:cs="Arial"/>
          <w:sz w:val="24"/>
          <w:szCs w:val="24"/>
          <w:lang w:val="en-GB"/>
        </w:rPr>
        <w:t xml:space="preserve"> </w:t>
      </w:r>
    </w:p>
    <w:p w14:paraId="4E33EEDA" w14:textId="77777777" w:rsidR="00562F87" w:rsidRPr="00E962DB" w:rsidRDefault="00562F87" w:rsidP="00AA3D62">
      <w:pPr>
        <w:ind w:right="-90"/>
        <w:jc w:val="both"/>
        <w:rPr>
          <w:rFonts w:ascii="Arial" w:hAnsi="Arial" w:cs="Arial"/>
          <w:sz w:val="24"/>
          <w:szCs w:val="24"/>
          <w:lang w:val="en-GB"/>
        </w:rPr>
      </w:pPr>
    </w:p>
    <w:p w14:paraId="395F0A8C" w14:textId="77777777" w:rsidR="00562F87" w:rsidRPr="00E962DB" w:rsidRDefault="00562F87" w:rsidP="00AA3D62">
      <w:pPr>
        <w:ind w:right="-90"/>
        <w:jc w:val="both"/>
        <w:rPr>
          <w:rFonts w:ascii="Arial" w:hAnsi="Arial" w:cs="Arial"/>
          <w:sz w:val="24"/>
          <w:szCs w:val="24"/>
          <w:lang w:val="en-GB"/>
        </w:rPr>
      </w:pPr>
    </w:p>
    <w:p w14:paraId="0E245F2D" w14:textId="77777777" w:rsidR="00562F87" w:rsidRPr="00E962DB" w:rsidRDefault="00562F87" w:rsidP="00AA3D62">
      <w:pPr>
        <w:ind w:right="-90"/>
        <w:jc w:val="both"/>
        <w:rPr>
          <w:rFonts w:ascii="Arial" w:hAnsi="Arial" w:cs="Arial"/>
          <w:sz w:val="24"/>
          <w:szCs w:val="24"/>
          <w:lang w:val="en-GB"/>
        </w:rPr>
      </w:pPr>
    </w:p>
    <w:p w14:paraId="2463EB4F" w14:textId="77777777" w:rsidR="00562F87" w:rsidRPr="00E962DB" w:rsidRDefault="00562F87" w:rsidP="00A057DD">
      <w:pPr>
        <w:spacing w:line="360" w:lineRule="auto"/>
        <w:jc w:val="both"/>
        <w:textAlignment w:val="baseline"/>
        <w:rPr>
          <w:rFonts w:ascii="Arial" w:hAnsi="Arial" w:cs="Arial"/>
          <w:color w:val="000000"/>
          <w:spacing w:val="1"/>
          <w:sz w:val="24"/>
          <w:lang w:val="en-GB"/>
        </w:rPr>
      </w:pPr>
    </w:p>
    <w:p w14:paraId="284704C0" w14:textId="77777777" w:rsidR="00562F87" w:rsidRPr="00E962DB" w:rsidRDefault="00562F87" w:rsidP="00A057DD">
      <w:pPr>
        <w:spacing w:line="360" w:lineRule="auto"/>
        <w:jc w:val="both"/>
        <w:textAlignment w:val="baseline"/>
        <w:rPr>
          <w:rFonts w:ascii="Arial" w:hAnsi="Arial" w:cs="Arial"/>
          <w:color w:val="000000"/>
          <w:spacing w:val="1"/>
          <w:sz w:val="24"/>
          <w:lang w:val="en-GB"/>
        </w:rPr>
      </w:pPr>
    </w:p>
    <w:p w14:paraId="478E056D" w14:textId="77777777" w:rsidR="00562F87" w:rsidRPr="00E962DB" w:rsidRDefault="00562F87" w:rsidP="008D1077">
      <w:pPr>
        <w:pStyle w:val="Heading2"/>
        <w:numPr>
          <w:ilvl w:val="0"/>
          <w:numId w:val="27"/>
        </w:numPr>
        <w:rPr>
          <w:lang w:val="en-GB"/>
        </w:rPr>
      </w:pPr>
      <w:bookmarkStart w:id="117" w:name="_Toc492290976"/>
      <w:r w:rsidRPr="00E962DB">
        <w:rPr>
          <w:lang w:val="en-GB"/>
        </w:rPr>
        <w:t>CRS Implementation Options</w:t>
      </w:r>
      <w:bookmarkEnd w:id="117"/>
      <w:r w:rsidRPr="00E962DB">
        <w:rPr>
          <w:lang w:val="en-GB"/>
        </w:rPr>
        <w:t xml:space="preserve"> </w:t>
      </w:r>
    </w:p>
    <w:p w14:paraId="2E7311F9"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There are areas where CRS provides optional approaches for jurisdictions to adopt the ones most suited to their circumstances. For further detail on these CRS implementation options, please refer to pages 12 – 17 of the CRS Implementation Handbook.</w:t>
      </w:r>
    </w:p>
    <w:p w14:paraId="0F853C1A"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055F5F3B"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table below outlines these 16 implementation options and how they have been incorporated into The Bahamas CRS legislative framework. Some of these implementation options are also further elaborated upon in the Guidance Notes below.</w:t>
      </w:r>
    </w:p>
    <w:p w14:paraId="36D50D3C"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2669967B" w14:textId="77777777" w:rsidR="00562F87" w:rsidRPr="00E962DB" w:rsidRDefault="00562F87" w:rsidP="00A057DD">
      <w:pPr>
        <w:spacing w:line="360" w:lineRule="auto"/>
        <w:jc w:val="both"/>
        <w:textAlignment w:val="baseline"/>
        <w:rPr>
          <w:rFonts w:ascii="Arial" w:hAnsi="Arial" w:cs="Arial"/>
          <w:color w:val="000000"/>
          <w:sz w:val="24"/>
          <w:lang w:val="en-GB"/>
        </w:rPr>
      </w:pPr>
    </w:p>
    <w:tbl>
      <w:tblPr>
        <w:tblW w:w="10236" w:type="dxa"/>
        <w:tblInd w:w="6" w:type="dxa"/>
        <w:tblCellMar>
          <w:left w:w="0" w:type="dxa"/>
          <w:right w:w="0" w:type="dxa"/>
        </w:tblCellMar>
        <w:tblLook w:val="0000" w:firstRow="0" w:lastRow="0" w:firstColumn="0" w:lastColumn="0" w:noHBand="0" w:noVBand="0"/>
      </w:tblPr>
      <w:tblGrid>
        <w:gridCol w:w="4704"/>
        <w:gridCol w:w="2766"/>
        <w:gridCol w:w="2766"/>
      </w:tblGrid>
      <w:tr w:rsidR="00562F87" w:rsidRPr="00E962DB" w14:paraId="2896978E" w14:textId="77777777" w:rsidTr="005C0583">
        <w:tc>
          <w:tcPr>
            <w:tcW w:w="4704" w:type="dxa"/>
            <w:tcBorders>
              <w:top w:val="single" w:sz="4" w:space="0" w:color="000000"/>
              <w:left w:val="single" w:sz="4" w:space="0" w:color="000000"/>
              <w:bottom w:val="single" w:sz="4" w:space="0" w:color="000000"/>
              <w:right w:val="single" w:sz="4" w:space="0" w:color="000000"/>
            </w:tcBorders>
            <w:vAlign w:val="center"/>
          </w:tcPr>
          <w:p w14:paraId="3BBEC4CD" w14:textId="77777777" w:rsidR="00562F87" w:rsidRPr="00E962DB" w:rsidRDefault="00562F87" w:rsidP="00633A3E">
            <w:pPr>
              <w:spacing w:line="360" w:lineRule="auto"/>
              <w:jc w:val="center"/>
              <w:textAlignment w:val="baseline"/>
              <w:rPr>
                <w:rFonts w:ascii="Arial" w:hAnsi="Arial" w:cs="Arial"/>
                <w:b/>
                <w:color w:val="000000"/>
                <w:sz w:val="24"/>
                <w:lang w:val="en-GB"/>
              </w:rPr>
            </w:pPr>
            <w:r w:rsidRPr="00E962DB">
              <w:rPr>
                <w:rFonts w:ascii="Arial" w:hAnsi="Arial" w:cs="Arial"/>
                <w:b/>
                <w:color w:val="000000"/>
                <w:sz w:val="24"/>
                <w:lang w:val="en-GB"/>
              </w:rPr>
              <w:t>Options under CRS</w:t>
            </w:r>
          </w:p>
        </w:tc>
        <w:tc>
          <w:tcPr>
            <w:tcW w:w="2766" w:type="dxa"/>
            <w:tcBorders>
              <w:top w:val="single" w:sz="4" w:space="0" w:color="000000"/>
              <w:left w:val="single" w:sz="4" w:space="0" w:color="000000"/>
              <w:bottom w:val="single" w:sz="4" w:space="0" w:color="000000"/>
              <w:right w:val="single" w:sz="4" w:space="0" w:color="000000"/>
            </w:tcBorders>
          </w:tcPr>
          <w:p w14:paraId="2090B754" w14:textId="77777777" w:rsidR="00562F87" w:rsidRPr="00E962DB" w:rsidRDefault="00562F87" w:rsidP="00633A3E">
            <w:pPr>
              <w:spacing w:line="360" w:lineRule="auto"/>
              <w:jc w:val="center"/>
              <w:textAlignment w:val="baseline"/>
              <w:rPr>
                <w:rFonts w:ascii="Arial" w:hAnsi="Arial" w:cs="Arial"/>
                <w:b/>
                <w:color w:val="000000"/>
                <w:sz w:val="24"/>
                <w:lang w:val="en-GB"/>
              </w:rPr>
            </w:pPr>
            <w:r w:rsidRPr="00E962DB">
              <w:rPr>
                <w:rFonts w:ascii="Arial" w:hAnsi="Arial" w:cs="Arial"/>
                <w:b/>
                <w:color w:val="000000"/>
                <w:sz w:val="24"/>
                <w:lang w:val="en-GB"/>
              </w:rPr>
              <w:t>Implemented</w:t>
            </w:r>
          </w:p>
        </w:tc>
        <w:tc>
          <w:tcPr>
            <w:tcW w:w="2766" w:type="dxa"/>
            <w:tcBorders>
              <w:top w:val="single" w:sz="4" w:space="0" w:color="000000"/>
              <w:left w:val="single" w:sz="4" w:space="0" w:color="000000"/>
              <w:bottom w:val="single" w:sz="4" w:space="0" w:color="000000"/>
              <w:right w:val="single" w:sz="4" w:space="0" w:color="000000"/>
            </w:tcBorders>
            <w:vAlign w:val="center"/>
          </w:tcPr>
          <w:p w14:paraId="6AD5D699" w14:textId="77777777" w:rsidR="00562F87" w:rsidRPr="00E962DB" w:rsidRDefault="00562F87" w:rsidP="000A73DD">
            <w:pPr>
              <w:spacing w:line="360" w:lineRule="auto"/>
              <w:textAlignment w:val="baseline"/>
              <w:rPr>
                <w:rFonts w:ascii="Arial" w:hAnsi="Arial" w:cs="Arial"/>
                <w:b/>
                <w:color w:val="000000"/>
                <w:sz w:val="24"/>
                <w:lang w:val="en-GB"/>
              </w:rPr>
            </w:pPr>
            <w:r w:rsidRPr="00E962DB">
              <w:rPr>
                <w:rFonts w:ascii="Arial" w:hAnsi="Arial" w:cs="Arial"/>
                <w:b/>
                <w:color w:val="000000"/>
                <w:sz w:val="24"/>
                <w:lang w:val="en-GB"/>
              </w:rPr>
              <w:t xml:space="preserve"> Reference (s)</w:t>
            </w:r>
          </w:p>
        </w:tc>
      </w:tr>
      <w:tr w:rsidR="00562F87" w:rsidRPr="00E962DB" w14:paraId="0D64E0B8" w14:textId="77777777" w:rsidTr="005C0583">
        <w:trPr>
          <w:trHeight w:val="861"/>
        </w:trPr>
        <w:tc>
          <w:tcPr>
            <w:tcW w:w="4704" w:type="dxa"/>
            <w:tcBorders>
              <w:top w:val="single" w:sz="4" w:space="0" w:color="000000"/>
              <w:left w:val="single" w:sz="4" w:space="0" w:color="000000"/>
              <w:bottom w:val="single" w:sz="4" w:space="0" w:color="000000"/>
              <w:right w:val="single" w:sz="4" w:space="0" w:color="000000"/>
            </w:tcBorders>
          </w:tcPr>
          <w:p w14:paraId="3440F2AF" w14:textId="77777777" w:rsidR="00562F87" w:rsidRPr="00E962DB" w:rsidRDefault="00562F87" w:rsidP="00633A3E">
            <w:pPr>
              <w:numPr>
                <w:ilvl w:val="0"/>
                <w:numId w:val="2"/>
              </w:numPr>
              <w:tabs>
                <w:tab w:val="clear" w:pos="648"/>
                <w:tab w:val="left" w:pos="792"/>
                <w:tab w:val="right" w:pos="4536"/>
              </w:tabs>
              <w:spacing w:line="360" w:lineRule="auto"/>
              <w:ind w:left="144" w:right="108"/>
              <w:jc w:val="both"/>
              <w:textAlignment w:val="baseline"/>
              <w:rPr>
                <w:rFonts w:ascii="Arial" w:hAnsi="Arial" w:cs="Arial"/>
                <w:color w:val="000000"/>
                <w:sz w:val="24"/>
                <w:lang w:val="en-GB"/>
              </w:rPr>
            </w:pPr>
            <w:r w:rsidRPr="00E962DB">
              <w:rPr>
                <w:rFonts w:ascii="Arial" w:hAnsi="Arial" w:cs="Arial"/>
                <w:color w:val="000000"/>
                <w:sz w:val="24"/>
                <w:lang w:val="en-GB"/>
              </w:rPr>
              <w:t xml:space="preserve">Alternative approach to calculating </w:t>
            </w:r>
            <w:r w:rsidRPr="00E962DB">
              <w:rPr>
                <w:rFonts w:ascii="Arial" w:hAnsi="Arial" w:cs="Arial"/>
                <w:color w:val="000000"/>
                <w:sz w:val="24"/>
                <w:lang w:val="en-GB"/>
              </w:rPr>
              <w:br/>
              <w:t>account balances</w:t>
            </w:r>
          </w:p>
        </w:tc>
        <w:tc>
          <w:tcPr>
            <w:tcW w:w="2766" w:type="dxa"/>
            <w:tcBorders>
              <w:top w:val="single" w:sz="4" w:space="0" w:color="000000"/>
              <w:left w:val="single" w:sz="4" w:space="0" w:color="000000"/>
              <w:bottom w:val="single" w:sz="4" w:space="0" w:color="000000"/>
              <w:right w:val="single" w:sz="4" w:space="0" w:color="000000"/>
            </w:tcBorders>
          </w:tcPr>
          <w:p w14:paraId="3AAB0415" w14:textId="77777777" w:rsidR="00562F87" w:rsidRPr="00E962DB" w:rsidRDefault="00562F87" w:rsidP="002F62A5">
            <w:pPr>
              <w:spacing w:line="360" w:lineRule="auto"/>
              <w:ind w:left="106"/>
              <w:jc w:val="center"/>
              <w:textAlignment w:val="baseline"/>
              <w:rPr>
                <w:rFonts w:ascii="Arial" w:hAnsi="Arial" w:cs="Arial"/>
                <w:color w:val="000000"/>
                <w:sz w:val="24"/>
                <w:lang w:val="en-GB"/>
              </w:rPr>
            </w:pPr>
            <w:r w:rsidRPr="00E962DB">
              <w:rPr>
                <w:rFonts w:ascii="Arial" w:hAnsi="Arial" w:cs="Arial"/>
                <w:color w:val="000000"/>
                <w:sz w:val="24"/>
                <w:lang w:val="en-GB"/>
              </w:rPr>
              <w:t>No</w:t>
            </w:r>
          </w:p>
        </w:tc>
        <w:tc>
          <w:tcPr>
            <w:tcW w:w="2766" w:type="dxa"/>
            <w:tcBorders>
              <w:top w:val="single" w:sz="4" w:space="0" w:color="000000"/>
              <w:left w:val="single" w:sz="4" w:space="0" w:color="000000"/>
              <w:bottom w:val="single" w:sz="4" w:space="0" w:color="000000"/>
              <w:right w:val="single" w:sz="4" w:space="0" w:color="000000"/>
            </w:tcBorders>
          </w:tcPr>
          <w:p w14:paraId="4DC871AB" w14:textId="77777777" w:rsidR="00562F87" w:rsidRPr="00E962DB" w:rsidRDefault="00562F87" w:rsidP="008C631A">
            <w:pPr>
              <w:spacing w:line="360" w:lineRule="auto"/>
              <w:ind w:left="106"/>
              <w:textAlignment w:val="baseline"/>
              <w:rPr>
                <w:rFonts w:ascii="Arial" w:hAnsi="Arial" w:cs="Arial"/>
                <w:color w:val="000000"/>
                <w:sz w:val="24"/>
                <w:lang w:val="en-GB"/>
              </w:rPr>
            </w:pPr>
            <w:r w:rsidRPr="00E962DB">
              <w:rPr>
                <w:rFonts w:ascii="Arial" w:hAnsi="Arial" w:cs="Arial"/>
                <w:color w:val="000000"/>
                <w:sz w:val="24"/>
                <w:lang w:val="en-GB"/>
              </w:rPr>
              <w:t>N/A</w:t>
            </w:r>
          </w:p>
          <w:p w14:paraId="1DBD975F" w14:textId="77777777" w:rsidR="00562F87" w:rsidRPr="00E962DB" w:rsidRDefault="00562F87" w:rsidP="005C0583">
            <w:pPr>
              <w:spacing w:line="360" w:lineRule="auto"/>
              <w:ind w:left="106"/>
              <w:textAlignment w:val="baseline"/>
              <w:rPr>
                <w:rFonts w:ascii="Arial" w:hAnsi="Arial" w:cs="Arial"/>
                <w:color w:val="000000"/>
                <w:sz w:val="24"/>
                <w:lang w:val="en-GB"/>
              </w:rPr>
            </w:pPr>
          </w:p>
        </w:tc>
      </w:tr>
      <w:tr w:rsidR="00562F87" w:rsidRPr="00E962DB" w14:paraId="35A0AB21"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720DB813" w14:textId="77777777" w:rsidR="00562F87" w:rsidRPr="00E962DB" w:rsidRDefault="00562F87" w:rsidP="00633A3E">
            <w:pPr>
              <w:numPr>
                <w:ilvl w:val="0"/>
                <w:numId w:val="2"/>
              </w:numPr>
              <w:tabs>
                <w:tab w:val="clear" w:pos="648"/>
                <w:tab w:val="left" w:pos="792"/>
                <w:tab w:val="right" w:pos="4536"/>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Use of reporting period other than calendar year</w:t>
            </w:r>
          </w:p>
        </w:tc>
        <w:tc>
          <w:tcPr>
            <w:tcW w:w="2766" w:type="dxa"/>
            <w:tcBorders>
              <w:top w:val="single" w:sz="4" w:space="0" w:color="000000"/>
              <w:left w:val="single" w:sz="4" w:space="0" w:color="000000"/>
              <w:bottom w:val="single" w:sz="4" w:space="0" w:color="000000"/>
              <w:right w:val="single" w:sz="4" w:space="0" w:color="000000"/>
            </w:tcBorders>
          </w:tcPr>
          <w:p w14:paraId="135BAAD0" w14:textId="77777777" w:rsidR="00562F87" w:rsidRPr="00E962DB" w:rsidRDefault="00562F87" w:rsidP="002F62A5">
            <w:pPr>
              <w:spacing w:line="360" w:lineRule="auto"/>
              <w:ind w:left="106"/>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3EB4B56B" w14:textId="77777777" w:rsidR="00562F87" w:rsidRPr="00E962DB" w:rsidRDefault="00562F87" w:rsidP="00633A3E">
            <w:pPr>
              <w:spacing w:line="360" w:lineRule="auto"/>
              <w:ind w:left="106"/>
              <w:textAlignment w:val="baseline"/>
              <w:rPr>
                <w:rFonts w:ascii="Arial" w:hAnsi="Arial" w:cs="Arial"/>
                <w:color w:val="000000"/>
                <w:sz w:val="24"/>
                <w:lang w:val="en-GB"/>
              </w:rPr>
            </w:pPr>
            <w:r w:rsidRPr="00E962DB">
              <w:rPr>
                <w:rFonts w:ascii="Arial" w:hAnsi="Arial" w:cs="Arial"/>
                <w:color w:val="000000"/>
                <w:sz w:val="24"/>
                <w:lang w:val="en-GB"/>
              </w:rPr>
              <w:t>Para. I of Section I of CRS / Commentary on CRS page 99</w:t>
            </w:r>
          </w:p>
        </w:tc>
      </w:tr>
      <w:tr w:rsidR="00562F87" w:rsidRPr="00E962DB" w14:paraId="7C4B79D0"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6FD1E1FC" w14:textId="77777777" w:rsidR="00562F87" w:rsidRPr="00E962DB" w:rsidRDefault="00562F87" w:rsidP="008C631A">
            <w:pPr>
              <w:numPr>
                <w:ilvl w:val="0"/>
                <w:numId w:val="2"/>
              </w:numPr>
              <w:tabs>
                <w:tab w:val="left" w:pos="864"/>
                <w:tab w:val="left" w:pos="1872"/>
                <w:tab w:val="left" w:pos="2232"/>
                <w:tab w:val="left" w:pos="2736"/>
                <w:tab w:val="right" w:pos="4536"/>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Phasing in the requirements to report gross proceeds</w:t>
            </w:r>
          </w:p>
        </w:tc>
        <w:tc>
          <w:tcPr>
            <w:tcW w:w="2766" w:type="dxa"/>
            <w:tcBorders>
              <w:top w:val="single" w:sz="4" w:space="0" w:color="000000"/>
              <w:left w:val="single" w:sz="4" w:space="0" w:color="000000"/>
              <w:bottom w:val="single" w:sz="4" w:space="0" w:color="000000"/>
              <w:right w:val="single" w:sz="4" w:space="0" w:color="000000"/>
            </w:tcBorders>
          </w:tcPr>
          <w:p w14:paraId="61D767F2" w14:textId="77777777" w:rsidR="00562F87" w:rsidRPr="00E962DB" w:rsidRDefault="00562F87" w:rsidP="002F62A5">
            <w:pPr>
              <w:spacing w:line="360" w:lineRule="auto"/>
              <w:ind w:left="106"/>
              <w:jc w:val="center"/>
              <w:textAlignment w:val="baseline"/>
              <w:rPr>
                <w:rFonts w:ascii="Arial" w:hAnsi="Arial" w:cs="Arial"/>
                <w:color w:val="000000"/>
                <w:sz w:val="24"/>
                <w:lang w:val="en-GB"/>
              </w:rPr>
            </w:pPr>
            <w:r w:rsidRPr="00E962DB">
              <w:rPr>
                <w:rFonts w:ascii="Arial" w:hAnsi="Arial" w:cs="Arial"/>
                <w:color w:val="000000"/>
                <w:sz w:val="24"/>
                <w:lang w:val="en-GB"/>
              </w:rPr>
              <w:t>No</w:t>
            </w:r>
          </w:p>
        </w:tc>
        <w:tc>
          <w:tcPr>
            <w:tcW w:w="2766" w:type="dxa"/>
            <w:tcBorders>
              <w:top w:val="single" w:sz="4" w:space="0" w:color="000000"/>
              <w:left w:val="single" w:sz="4" w:space="0" w:color="000000"/>
              <w:bottom w:val="single" w:sz="4" w:space="0" w:color="000000"/>
              <w:right w:val="single" w:sz="4" w:space="0" w:color="000000"/>
            </w:tcBorders>
          </w:tcPr>
          <w:p w14:paraId="1FBBA23B" w14:textId="77777777" w:rsidR="00562F87" w:rsidRPr="00E962DB" w:rsidRDefault="00562F87" w:rsidP="00633A3E">
            <w:pPr>
              <w:spacing w:line="360" w:lineRule="auto"/>
              <w:ind w:left="106"/>
              <w:textAlignment w:val="baseline"/>
              <w:rPr>
                <w:rFonts w:ascii="Arial" w:hAnsi="Arial" w:cs="Arial"/>
                <w:color w:val="000000"/>
                <w:sz w:val="24"/>
                <w:lang w:val="en-GB"/>
              </w:rPr>
            </w:pPr>
            <w:r w:rsidRPr="00E962DB">
              <w:rPr>
                <w:rFonts w:ascii="Arial" w:hAnsi="Arial" w:cs="Arial"/>
                <w:color w:val="000000"/>
                <w:sz w:val="24"/>
                <w:lang w:val="en-GB"/>
              </w:rPr>
              <w:t>Reg. 5(3) of the AEOI Regulations</w:t>
            </w:r>
            <w:r w:rsidRPr="00E962DB">
              <w:rPr>
                <w:rStyle w:val="FootnoteReference"/>
                <w:rFonts w:ascii="Arial" w:hAnsi="Arial" w:cs="Arial"/>
                <w:color w:val="000000"/>
                <w:sz w:val="24"/>
                <w:lang w:val="en-GB"/>
              </w:rPr>
              <w:footnoteReference w:id="1"/>
            </w:r>
            <w:r w:rsidRPr="00E962DB">
              <w:rPr>
                <w:rFonts w:ascii="Arial" w:hAnsi="Arial" w:cs="Arial"/>
                <w:color w:val="000000"/>
                <w:sz w:val="24"/>
                <w:lang w:val="en-GB"/>
              </w:rPr>
              <w:t>; Commentary on CRS page 107.</w:t>
            </w:r>
          </w:p>
        </w:tc>
      </w:tr>
      <w:tr w:rsidR="00562F87" w:rsidRPr="00E962DB" w14:paraId="00AF71A3"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768D0C3B" w14:textId="77777777" w:rsidR="00562F87" w:rsidRPr="00E962DB" w:rsidRDefault="00562F87" w:rsidP="00633A3E">
            <w:pPr>
              <w:numPr>
                <w:ilvl w:val="0"/>
                <w:numId w:val="2"/>
              </w:numPr>
              <w:tabs>
                <w:tab w:val="left" w:pos="720"/>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Filing of nil returns</w:t>
            </w:r>
          </w:p>
        </w:tc>
        <w:tc>
          <w:tcPr>
            <w:tcW w:w="2766" w:type="dxa"/>
            <w:tcBorders>
              <w:top w:val="single" w:sz="4" w:space="0" w:color="000000"/>
              <w:left w:val="single" w:sz="4" w:space="0" w:color="000000"/>
              <w:bottom w:val="single" w:sz="4" w:space="0" w:color="000000"/>
              <w:right w:val="single" w:sz="4" w:space="0" w:color="000000"/>
            </w:tcBorders>
          </w:tcPr>
          <w:p w14:paraId="1C1B3463" w14:textId="77777777" w:rsidR="00562F87" w:rsidRPr="00E962DB" w:rsidRDefault="00562F87" w:rsidP="002F62A5">
            <w:pPr>
              <w:spacing w:line="360" w:lineRule="auto"/>
              <w:ind w:left="106"/>
              <w:jc w:val="center"/>
              <w:textAlignment w:val="baseline"/>
              <w:rPr>
                <w:rFonts w:ascii="Arial" w:hAnsi="Arial" w:cs="Arial"/>
                <w:color w:val="000000"/>
                <w:sz w:val="24"/>
                <w:lang w:val="en-GB"/>
              </w:rPr>
            </w:pPr>
            <w:r w:rsidRPr="00E962DB">
              <w:rPr>
                <w:rFonts w:ascii="Arial" w:hAnsi="Arial" w:cs="Arial"/>
                <w:color w:val="000000"/>
                <w:sz w:val="24"/>
                <w:lang w:val="en-GB"/>
              </w:rPr>
              <w:t>No</w:t>
            </w:r>
          </w:p>
        </w:tc>
        <w:tc>
          <w:tcPr>
            <w:tcW w:w="2766" w:type="dxa"/>
            <w:tcBorders>
              <w:top w:val="single" w:sz="4" w:space="0" w:color="000000"/>
              <w:left w:val="single" w:sz="4" w:space="0" w:color="000000"/>
              <w:bottom w:val="single" w:sz="4" w:space="0" w:color="000000"/>
              <w:right w:val="single" w:sz="4" w:space="0" w:color="000000"/>
            </w:tcBorders>
          </w:tcPr>
          <w:p w14:paraId="5AB584AB" w14:textId="77777777" w:rsidR="00562F87" w:rsidRPr="00E962DB" w:rsidRDefault="00562F87" w:rsidP="00633A3E">
            <w:pPr>
              <w:spacing w:line="360" w:lineRule="auto"/>
              <w:ind w:left="106"/>
              <w:textAlignment w:val="baseline"/>
              <w:rPr>
                <w:rFonts w:ascii="Arial" w:hAnsi="Arial" w:cs="Arial"/>
                <w:color w:val="000000"/>
                <w:sz w:val="24"/>
                <w:lang w:val="en-GB"/>
              </w:rPr>
            </w:pPr>
            <w:r w:rsidRPr="00E962DB">
              <w:rPr>
                <w:rFonts w:ascii="Arial" w:hAnsi="Arial" w:cs="Arial"/>
                <w:color w:val="000000"/>
                <w:sz w:val="24"/>
                <w:lang w:val="en-GB"/>
              </w:rPr>
              <w:t>N/A</w:t>
            </w:r>
          </w:p>
        </w:tc>
      </w:tr>
      <w:tr w:rsidR="00562F87" w:rsidRPr="00E962DB" w14:paraId="550C13D4"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65A721B3" w14:textId="77777777" w:rsidR="00562F87" w:rsidRPr="00E962DB" w:rsidRDefault="00562F87" w:rsidP="00633A3E">
            <w:pPr>
              <w:numPr>
                <w:ilvl w:val="0"/>
                <w:numId w:val="2"/>
              </w:numPr>
              <w:tabs>
                <w:tab w:val="left" w:pos="936"/>
                <w:tab w:val="left" w:pos="2160"/>
                <w:tab w:val="left" w:pos="2952"/>
                <w:tab w:val="right" w:pos="4536"/>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Allowing third party service providers to fulfil obligations for FIs</w:t>
            </w:r>
          </w:p>
        </w:tc>
        <w:tc>
          <w:tcPr>
            <w:tcW w:w="2766" w:type="dxa"/>
            <w:tcBorders>
              <w:top w:val="single" w:sz="4" w:space="0" w:color="000000"/>
              <w:left w:val="single" w:sz="4" w:space="0" w:color="000000"/>
              <w:bottom w:val="single" w:sz="4" w:space="0" w:color="000000"/>
              <w:right w:val="single" w:sz="4" w:space="0" w:color="000000"/>
            </w:tcBorders>
          </w:tcPr>
          <w:p w14:paraId="57C4C5AA" w14:textId="77777777" w:rsidR="00562F87" w:rsidRPr="00E962DB" w:rsidRDefault="00562F87" w:rsidP="002F62A5">
            <w:pPr>
              <w:spacing w:line="360" w:lineRule="auto"/>
              <w:ind w:left="106"/>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32DFF6CE" w14:textId="77777777" w:rsidR="00562F87" w:rsidRPr="00E962DB" w:rsidRDefault="00562F87" w:rsidP="00633A3E">
            <w:pPr>
              <w:spacing w:line="360" w:lineRule="auto"/>
              <w:ind w:left="106"/>
              <w:textAlignment w:val="baseline"/>
              <w:rPr>
                <w:rFonts w:ascii="Arial" w:hAnsi="Arial" w:cs="Arial"/>
                <w:color w:val="000000"/>
                <w:sz w:val="24"/>
                <w:lang w:val="en-GB"/>
              </w:rPr>
            </w:pPr>
            <w:r w:rsidRPr="00E962DB">
              <w:rPr>
                <w:rFonts w:ascii="Arial" w:hAnsi="Arial" w:cs="Arial"/>
                <w:color w:val="000000"/>
                <w:sz w:val="24"/>
                <w:lang w:val="en-GB"/>
              </w:rPr>
              <w:t>Section 8 of the AEOI Act; Commentary on CRS para. D - page 108</w:t>
            </w:r>
          </w:p>
        </w:tc>
      </w:tr>
      <w:tr w:rsidR="00562F87" w:rsidRPr="00E962DB" w14:paraId="54927510"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4B61816F" w14:textId="77777777" w:rsidR="00562F87" w:rsidRPr="00E962DB" w:rsidRDefault="00562F87" w:rsidP="00633A3E">
            <w:pPr>
              <w:numPr>
                <w:ilvl w:val="0"/>
                <w:numId w:val="2"/>
              </w:numPr>
              <w:tabs>
                <w:tab w:val="clear" w:pos="648"/>
                <w:tab w:val="left" w:pos="792"/>
                <w:tab w:val="right" w:pos="4608"/>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Allowing due diligence procedures for New Accounts to be used for Preexisting Accounts</w:t>
            </w:r>
          </w:p>
        </w:tc>
        <w:tc>
          <w:tcPr>
            <w:tcW w:w="2766" w:type="dxa"/>
            <w:tcBorders>
              <w:top w:val="single" w:sz="4" w:space="0" w:color="000000"/>
              <w:left w:val="single" w:sz="4" w:space="0" w:color="000000"/>
              <w:bottom w:val="single" w:sz="4" w:space="0" w:color="000000"/>
              <w:right w:val="single" w:sz="4" w:space="0" w:color="000000"/>
            </w:tcBorders>
          </w:tcPr>
          <w:p w14:paraId="76AF5BDC" w14:textId="77777777" w:rsidR="00562F87" w:rsidRPr="00E962DB" w:rsidRDefault="00562F87" w:rsidP="002F62A5">
            <w:pPr>
              <w:spacing w:line="360" w:lineRule="auto"/>
              <w:ind w:left="108" w:right="108"/>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4063ED46" w14:textId="77777777" w:rsidR="00562F87" w:rsidRPr="00E962DB" w:rsidRDefault="00562F87" w:rsidP="00633A3E">
            <w:pPr>
              <w:spacing w:line="360" w:lineRule="auto"/>
              <w:ind w:left="108" w:right="108"/>
              <w:jc w:val="both"/>
              <w:textAlignment w:val="baseline"/>
              <w:rPr>
                <w:rFonts w:ascii="Arial" w:hAnsi="Arial" w:cs="Arial"/>
                <w:color w:val="000000"/>
                <w:sz w:val="24"/>
                <w:lang w:val="en-GB"/>
              </w:rPr>
            </w:pPr>
            <w:r w:rsidRPr="00E962DB">
              <w:rPr>
                <w:rFonts w:ascii="Arial" w:hAnsi="Arial" w:cs="Arial"/>
                <w:color w:val="000000"/>
                <w:sz w:val="24"/>
                <w:lang w:val="en-GB"/>
              </w:rPr>
              <w:t xml:space="preserve">Reg. 4(1)(c) and 4(2)-(4) of the AEOI Regulations; Commentary on CRS para. E - page 108 </w:t>
            </w:r>
          </w:p>
        </w:tc>
      </w:tr>
      <w:tr w:rsidR="00562F87" w:rsidRPr="00E962DB" w14:paraId="626391A5"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11A1D077" w14:textId="77777777" w:rsidR="00562F87" w:rsidRPr="00E962DB" w:rsidRDefault="00562F87" w:rsidP="00633A3E">
            <w:pPr>
              <w:numPr>
                <w:ilvl w:val="0"/>
                <w:numId w:val="2"/>
              </w:numPr>
              <w:tabs>
                <w:tab w:val="left" w:pos="1008"/>
                <w:tab w:val="left" w:pos="2160"/>
                <w:tab w:val="left" w:pos="2880"/>
                <w:tab w:val="right" w:pos="4536"/>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Allowing the due diligence procedures for High-Value Accounts to be used for Low-Value Accounts</w:t>
            </w:r>
          </w:p>
        </w:tc>
        <w:tc>
          <w:tcPr>
            <w:tcW w:w="2766" w:type="dxa"/>
            <w:tcBorders>
              <w:top w:val="single" w:sz="4" w:space="0" w:color="000000"/>
              <w:left w:val="single" w:sz="4" w:space="0" w:color="000000"/>
              <w:bottom w:val="single" w:sz="4" w:space="0" w:color="000000"/>
              <w:right w:val="single" w:sz="4" w:space="0" w:color="000000"/>
            </w:tcBorders>
          </w:tcPr>
          <w:p w14:paraId="07C71D0E" w14:textId="77777777" w:rsidR="00562F87" w:rsidRPr="00E962DB" w:rsidRDefault="00562F87" w:rsidP="002F62A5">
            <w:pPr>
              <w:spacing w:line="360" w:lineRule="auto"/>
              <w:ind w:left="108" w:right="108"/>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7CB261EC" w14:textId="77777777" w:rsidR="00562F87" w:rsidRPr="00E962DB" w:rsidRDefault="00562F87" w:rsidP="00633A3E">
            <w:pPr>
              <w:spacing w:line="360" w:lineRule="auto"/>
              <w:ind w:left="108" w:right="108"/>
              <w:jc w:val="both"/>
              <w:textAlignment w:val="baseline"/>
              <w:rPr>
                <w:rFonts w:ascii="Arial" w:hAnsi="Arial" w:cs="Arial"/>
                <w:color w:val="000000"/>
                <w:sz w:val="24"/>
                <w:lang w:val="en-GB"/>
              </w:rPr>
            </w:pPr>
            <w:r w:rsidRPr="00E962DB">
              <w:rPr>
                <w:rFonts w:ascii="Arial" w:hAnsi="Arial" w:cs="Arial"/>
                <w:color w:val="000000"/>
                <w:sz w:val="24"/>
                <w:lang w:val="en-GB"/>
              </w:rPr>
              <w:t>Reg. 4(1)(b) of the AEOI Regulations</w:t>
            </w:r>
          </w:p>
        </w:tc>
      </w:tr>
      <w:tr w:rsidR="00562F87" w:rsidRPr="00E962DB" w14:paraId="2A605B29"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20D74AF9" w14:textId="77777777" w:rsidR="00562F87" w:rsidRPr="00E962DB" w:rsidRDefault="00562F87" w:rsidP="007C61B7">
            <w:pPr>
              <w:numPr>
                <w:ilvl w:val="0"/>
                <w:numId w:val="2"/>
              </w:numPr>
              <w:tabs>
                <w:tab w:val="left" w:pos="1008"/>
                <w:tab w:val="left" w:pos="2160"/>
                <w:tab w:val="left" w:pos="2880"/>
                <w:tab w:val="right" w:pos="4536"/>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Residence address test for Lower Value Accounts</w:t>
            </w:r>
          </w:p>
        </w:tc>
        <w:tc>
          <w:tcPr>
            <w:tcW w:w="2766" w:type="dxa"/>
            <w:tcBorders>
              <w:top w:val="single" w:sz="4" w:space="0" w:color="000000"/>
              <w:left w:val="single" w:sz="4" w:space="0" w:color="000000"/>
              <w:bottom w:val="single" w:sz="4" w:space="0" w:color="000000"/>
              <w:right w:val="single" w:sz="4" w:space="0" w:color="000000"/>
            </w:tcBorders>
          </w:tcPr>
          <w:p w14:paraId="7E63F8BC" w14:textId="77777777" w:rsidR="00562F87" w:rsidRPr="00E962DB" w:rsidRDefault="00562F87" w:rsidP="002F62A5">
            <w:pPr>
              <w:spacing w:line="360" w:lineRule="auto"/>
              <w:ind w:left="108" w:right="108"/>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5C4A5309" w14:textId="77777777" w:rsidR="00562F87" w:rsidRPr="00E962DB" w:rsidRDefault="00562F87" w:rsidP="00633A3E">
            <w:pPr>
              <w:spacing w:line="360" w:lineRule="auto"/>
              <w:ind w:left="108" w:right="108"/>
              <w:jc w:val="both"/>
              <w:textAlignment w:val="baseline"/>
              <w:rPr>
                <w:rFonts w:ascii="Arial" w:hAnsi="Arial" w:cs="Arial"/>
                <w:color w:val="000000"/>
                <w:sz w:val="24"/>
                <w:lang w:val="en-GB"/>
              </w:rPr>
            </w:pPr>
            <w:r w:rsidRPr="00E962DB">
              <w:rPr>
                <w:rFonts w:ascii="Arial" w:hAnsi="Arial" w:cs="Arial"/>
                <w:color w:val="000000"/>
                <w:sz w:val="24"/>
                <w:lang w:val="en-GB"/>
              </w:rPr>
              <w:t>Reg. 4(1)(a) of the AEOI Regulations; Commentary on CRS, Section IV subpara. B (1) page 111</w:t>
            </w:r>
          </w:p>
        </w:tc>
      </w:tr>
      <w:tr w:rsidR="00562F87" w:rsidRPr="00E962DB" w14:paraId="4B8AEAB9" w14:textId="77777777" w:rsidTr="005C0583">
        <w:trPr>
          <w:trHeight w:val="2058"/>
        </w:trPr>
        <w:tc>
          <w:tcPr>
            <w:tcW w:w="4704" w:type="dxa"/>
            <w:tcBorders>
              <w:top w:val="single" w:sz="4" w:space="0" w:color="000000"/>
              <w:left w:val="single" w:sz="4" w:space="0" w:color="000000"/>
              <w:bottom w:val="single" w:sz="4" w:space="0" w:color="000000"/>
              <w:right w:val="single" w:sz="4" w:space="0" w:color="000000"/>
            </w:tcBorders>
          </w:tcPr>
          <w:p w14:paraId="4D95F408" w14:textId="77777777" w:rsidR="00562F87" w:rsidRPr="00E962DB" w:rsidRDefault="00562F87" w:rsidP="00065CD7">
            <w:pPr>
              <w:numPr>
                <w:ilvl w:val="0"/>
                <w:numId w:val="2"/>
              </w:numPr>
              <w:tabs>
                <w:tab w:val="left" w:pos="1008"/>
                <w:tab w:val="left" w:pos="2160"/>
                <w:tab w:val="left" w:pos="2880"/>
                <w:tab w:val="right" w:pos="4536"/>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Threshold of $250,000 for Preexisting Entity Accounts</w:t>
            </w:r>
          </w:p>
        </w:tc>
        <w:tc>
          <w:tcPr>
            <w:tcW w:w="2766" w:type="dxa"/>
            <w:tcBorders>
              <w:top w:val="single" w:sz="4" w:space="0" w:color="000000"/>
              <w:left w:val="single" w:sz="4" w:space="0" w:color="000000"/>
              <w:bottom w:val="single" w:sz="4" w:space="0" w:color="000000"/>
              <w:right w:val="single" w:sz="4" w:space="0" w:color="000000"/>
            </w:tcBorders>
          </w:tcPr>
          <w:p w14:paraId="0CBFC355" w14:textId="77777777" w:rsidR="00562F87" w:rsidRPr="00E962DB" w:rsidRDefault="00562F87" w:rsidP="002F62A5">
            <w:pPr>
              <w:spacing w:line="360" w:lineRule="auto"/>
              <w:ind w:left="108" w:right="108"/>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33B540FD" w14:textId="77777777" w:rsidR="00562F87" w:rsidRPr="00E962DB" w:rsidRDefault="00562F87" w:rsidP="005C0583">
            <w:pPr>
              <w:spacing w:line="360" w:lineRule="auto"/>
              <w:ind w:right="108"/>
              <w:jc w:val="both"/>
              <w:textAlignment w:val="baseline"/>
              <w:rPr>
                <w:rFonts w:ascii="Arial" w:hAnsi="Arial" w:cs="Arial"/>
                <w:color w:val="000000"/>
                <w:sz w:val="24"/>
                <w:lang w:val="en-GB"/>
              </w:rPr>
            </w:pPr>
            <w:r w:rsidRPr="00E962DB">
              <w:rPr>
                <w:rFonts w:ascii="Arial" w:hAnsi="Arial" w:cs="Arial"/>
                <w:color w:val="000000"/>
                <w:sz w:val="24"/>
                <w:lang w:val="en-GB"/>
              </w:rPr>
              <w:t>Reg. 5(5) of the AEOI Regulations; Commentary on CRS, Section V Paragraph A – page 135</w:t>
            </w:r>
          </w:p>
        </w:tc>
      </w:tr>
      <w:tr w:rsidR="00562F87" w:rsidRPr="00E962DB" w14:paraId="6D7BA15A"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2B5B999E" w14:textId="77777777" w:rsidR="00562F87" w:rsidRPr="00E962DB" w:rsidRDefault="00562F87" w:rsidP="001D5B91">
            <w:pPr>
              <w:numPr>
                <w:ilvl w:val="0"/>
                <w:numId w:val="3"/>
              </w:numPr>
              <w:tabs>
                <w:tab w:val="clear" w:pos="576"/>
                <w:tab w:val="left" w:pos="720"/>
                <w:tab w:val="left" w:pos="1872"/>
                <w:tab w:val="left" w:pos="2448"/>
                <w:tab w:val="left" w:pos="3600"/>
                <w:tab w:val="right" w:pos="4608"/>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Simplified due diligence rules for Group Cash Value Insurance Contracts and Group Annuity Contracts</w:t>
            </w:r>
          </w:p>
        </w:tc>
        <w:tc>
          <w:tcPr>
            <w:tcW w:w="2766" w:type="dxa"/>
            <w:tcBorders>
              <w:top w:val="single" w:sz="4" w:space="0" w:color="000000"/>
              <w:left w:val="single" w:sz="4" w:space="0" w:color="000000"/>
              <w:bottom w:val="single" w:sz="4" w:space="0" w:color="000000"/>
              <w:right w:val="single" w:sz="4" w:space="0" w:color="000000"/>
            </w:tcBorders>
          </w:tcPr>
          <w:p w14:paraId="74211724" w14:textId="77777777" w:rsidR="00562F87" w:rsidRPr="00E962DB" w:rsidRDefault="00562F87" w:rsidP="002F62A5">
            <w:pPr>
              <w:spacing w:line="360" w:lineRule="auto"/>
              <w:ind w:left="108" w:right="108"/>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3481AAA1" w14:textId="77777777" w:rsidR="00562F87" w:rsidRPr="00E962DB" w:rsidRDefault="00562F87" w:rsidP="00633A3E">
            <w:pPr>
              <w:spacing w:line="360" w:lineRule="auto"/>
              <w:ind w:left="108" w:right="108"/>
              <w:jc w:val="both"/>
              <w:textAlignment w:val="baseline"/>
              <w:rPr>
                <w:rFonts w:ascii="Arial" w:hAnsi="Arial" w:cs="Arial"/>
                <w:color w:val="000000"/>
                <w:sz w:val="24"/>
                <w:lang w:val="en-GB"/>
              </w:rPr>
            </w:pPr>
            <w:r w:rsidRPr="00E962DB">
              <w:rPr>
                <w:rFonts w:ascii="Arial" w:hAnsi="Arial" w:cs="Arial"/>
                <w:color w:val="000000"/>
                <w:sz w:val="24"/>
                <w:lang w:val="en-GB"/>
              </w:rPr>
              <w:t>Reg. 6 of the AEOI Regulations; Commentary on CRS, Section VII Para B page 152</w:t>
            </w:r>
          </w:p>
        </w:tc>
      </w:tr>
      <w:tr w:rsidR="00562F87" w:rsidRPr="00E962DB" w14:paraId="69FCD237"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3AE9E2BF" w14:textId="77777777" w:rsidR="00562F87" w:rsidRPr="00E962DB" w:rsidRDefault="00562F87" w:rsidP="001D5B91">
            <w:pPr>
              <w:numPr>
                <w:ilvl w:val="0"/>
                <w:numId w:val="3"/>
              </w:numPr>
              <w:tabs>
                <w:tab w:val="clear" w:pos="576"/>
                <w:tab w:val="left" w:pos="720"/>
                <w:tab w:val="left" w:pos="1800"/>
                <w:tab w:val="left" w:pos="2736"/>
                <w:tab w:val="left" w:pos="3312"/>
                <w:tab w:val="right" w:pos="4536"/>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Allowing greater use of existing standardised industry coding systems for the due diligence process</w:t>
            </w:r>
          </w:p>
        </w:tc>
        <w:tc>
          <w:tcPr>
            <w:tcW w:w="2766" w:type="dxa"/>
            <w:tcBorders>
              <w:top w:val="single" w:sz="4" w:space="0" w:color="000000"/>
              <w:left w:val="single" w:sz="4" w:space="0" w:color="000000"/>
              <w:bottom w:val="single" w:sz="4" w:space="0" w:color="000000"/>
              <w:right w:val="single" w:sz="4" w:space="0" w:color="000000"/>
            </w:tcBorders>
          </w:tcPr>
          <w:p w14:paraId="39AC8657" w14:textId="77777777" w:rsidR="00562F87" w:rsidRPr="00E962DB" w:rsidRDefault="00562F87" w:rsidP="002F62A5">
            <w:pPr>
              <w:spacing w:line="360" w:lineRule="auto"/>
              <w:ind w:left="108" w:right="108"/>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2AAA7FFD" w14:textId="77777777" w:rsidR="00562F87" w:rsidRPr="00E962DB" w:rsidRDefault="00562F87" w:rsidP="00633A3E">
            <w:pPr>
              <w:spacing w:line="360" w:lineRule="auto"/>
              <w:ind w:left="108" w:right="108"/>
              <w:jc w:val="both"/>
              <w:textAlignment w:val="baseline"/>
              <w:rPr>
                <w:rFonts w:ascii="Arial" w:hAnsi="Arial" w:cs="Arial"/>
                <w:color w:val="000000"/>
                <w:sz w:val="24"/>
                <w:lang w:val="en-GB"/>
              </w:rPr>
            </w:pPr>
            <w:r w:rsidRPr="00E962DB">
              <w:rPr>
                <w:rFonts w:ascii="Arial" w:hAnsi="Arial" w:cs="Arial"/>
                <w:color w:val="000000"/>
                <w:sz w:val="24"/>
                <w:lang w:val="en-GB"/>
              </w:rPr>
              <w:t>Reg. 4(5)(a) of the AEOI Regulations</w:t>
            </w:r>
          </w:p>
        </w:tc>
      </w:tr>
      <w:tr w:rsidR="00562F87" w:rsidRPr="00E962DB" w14:paraId="087D6E59"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231988DC" w14:textId="77777777" w:rsidR="00562F87" w:rsidRPr="00E962DB" w:rsidRDefault="00562F87" w:rsidP="001D5B91">
            <w:pPr>
              <w:numPr>
                <w:ilvl w:val="0"/>
                <w:numId w:val="3"/>
              </w:numPr>
              <w:tabs>
                <w:tab w:val="left" w:pos="864"/>
                <w:tab w:val="left" w:pos="2232"/>
                <w:tab w:val="left" w:pos="2664"/>
                <w:tab w:val="right" w:pos="4608"/>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Permitting a single currency translation rule</w:t>
            </w:r>
          </w:p>
        </w:tc>
        <w:tc>
          <w:tcPr>
            <w:tcW w:w="2766" w:type="dxa"/>
            <w:tcBorders>
              <w:top w:val="single" w:sz="4" w:space="0" w:color="000000"/>
              <w:left w:val="single" w:sz="4" w:space="0" w:color="000000"/>
              <w:bottom w:val="single" w:sz="4" w:space="0" w:color="000000"/>
              <w:right w:val="single" w:sz="4" w:space="0" w:color="000000"/>
            </w:tcBorders>
          </w:tcPr>
          <w:p w14:paraId="25A42396" w14:textId="77777777" w:rsidR="00562F87" w:rsidRPr="00E962DB" w:rsidRDefault="00562F87" w:rsidP="002F62A5">
            <w:pPr>
              <w:spacing w:line="360" w:lineRule="auto"/>
              <w:ind w:left="108" w:right="108"/>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24F5E5CB" w14:textId="77777777" w:rsidR="00562F87" w:rsidRPr="00E962DB" w:rsidRDefault="00562F87" w:rsidP="001D5B91">
            <w:pPr>
              <w:spacing w:line="360" w:lineRule="auto"/>
              <w:ind w:left="108" w:right="108"/>
              <w:jc w:val="both"/>
              <w:textAlignment w:val="baseline"/>
              <w:rPr>
                <w:rFonts w:ascii="Arial" w:hAnsi="Arial" w:cs="Arial"/>
                <w:color w:val="000000"/>
                <w:sz w:val="24"/>
                <w:lang w:val="en-GB"/>
              </w:rPr>
            </w:pPr>
            <w:r w:rsidRPr="00E962DB">
              <w:rPr>
                <w:rFonts w:ascii="Arial" w:hAnsi="Arial" w:cs="Arial"/>
                <w:color w:val="000000"/>
                <w:sz w:val="24"/>
                <w:lang w:val="en-GB"/>
              </w:rPr>
              <w:t>Para. C4 of Section VII of CRS; Commentary on CRS, Section VII, Subpara. C(4) page 156.</w:t>
            </w:r>
          </w:p>
        </w:tc>
      </w:tr>
      <w:tr w:rsidR="00562F87" w:rsidRPr="00E962DB" w14:paraId="5E1BEE91"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4EFEF864" w14:textId="77777777" w:rsidR="00562F87" w:rsidRPr="00E962DB" w:rsidRDefault="00562F87" w:rsidP="0027145B">
            <w:pPr>
              <w:numPr>
                <w:ilvl w:val="0"/>
                <w:numId w:val="3"/>
              </w:numPr>
              <w:tabs>
                <w:tab w:val="left" w:pos="648"/>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Expanding definition of Preexisting Account when Preexisting customers open a new account</w:t>
            </w:r>
          </w:p>
        </w:tc>
        <w:tc>
          <w:tcPr>
            <w:tcW w:w="2766" w:type="dxa"/>
            <w:tcBorders>
              <w:top w:val="single" w:sz="4" w:space="0" w:color="000000"/>
              <w:left w:val="single" w:sz="4" w:space="0" w:color="000000"/>
              <w:bottom w:val="single" w:sz="4" w:space="0" w:color="000000"/>
              <w:right w:val="single" w:sz="4" w:space="0" w:color="000000"/>
            </w:tcBorders>
          </w:tcPr>
          <w:p w14:paraId="268BE6AD" w14:textId="77777777" w:rsidR="00562F87" w:rsidRPr="00E962DB" w:rsidRDefault="00562F87" w:rsidP="002F62A5">
            <w:pPr>
              <w:spacing w:line="360" w:lineRule="auto"/>
              <w:ind w:left="108" w:right="144"/>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601D4639" w14:textId="77777777" w:rsidR="00562F87" w:rsidRPr="00E962DB" w:rsidRDefault="00562F87" w:rsidP="001D5B91">
            <w:pPr>
              <w:spacing w:line="360" w:lineRule="auto"/>
              <w:ind w:left="108" w:right="144"/>
              <w:jc w:val="both"/>
              <w:textAlignment w:val="baseline"/>
              <w:rPr>
                <w:rFonts w:ascii="Arial" w:hAnsi="Arial" w:cs="Arial"/>
                <w:color w:val="000000"/>
                <w:sz w:val="24"/>
                <w:lang w:val="en-GB"/>
              </w:rPr>
            </w:pPr>
            <w:r w:rsidRPr="00E962DB">
              <w:rPr>
                <w:rFonts w:ascii="Arial" w:hAnsi="Arial" w:cs="Arial"/>
                <w:color w:val="000000"/>
                <w:sz w:val="24"/>
                <w:lang w:val="en-GB"/>
              </w:rPr>
              <w:t xml:space="preserve">Reg. 2(1) of the AEOI Regulations </w:t>
            </w:r>
          </w:p>
        </w:tc>
      </w:tr>
      <w:tr w:rsidR="00562F87" w:rsidRPr="00E962DB" w14:paraId="0D3F0AE0"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709C2629" w14:textId="77777777" w:rsidR="00562F87" w:rsidRPr="00E962DB" w:rsidRDefault="00562F87" w:rsidP="00633A3E">
            <w:pPr>
              <w:numPr>
                <w:ilvl w:val="0"/>
                <w:numId w:val="3"/>
              </w:numPr>
              <w:tabs>
                <w:tab w:val="left" w:pos="504"/>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Expanded Related Entity definition</w:t>
            </w:r>
          </w:p>
        </w:tc>
        <w:tc>
          <w:tcPr>
            <w:tcW w:w="2766" w:type="dxa"/>
            <w:tcBorders>
              <w:top w:val="single" w:sz="4" w:space="0" w:color="000000"/>
              <w:left w:val="single" w:sz="4" w:space="0" w:color="000000"/>
              <w:bottom w:val="single" w:sz="4" w:space="0" w:color="000000"/>
              <w:right w:val="single" w:sz="4" w:space="0" w:color="000000"/>
            </w:tcBorders>
          </w:tcPr>
          <w:p w14:paraId="3170EBE8" w14:textId="77777777" w:rsidR="00562F87" w:rsidRPr="00E962DB" w:rsidRDefault="00562F87" w:rsidP="002F62A5">
            <w:pPr>
              <w:spacing w:line="360" w:lineRule="auto"/>
              <w:ind w:left="108" w:right="108"/>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5416E43E" w14:textId="77777777" w:rsidR="00562F87" w:rsidRPr="00E962DB" w:rsidRDefault="00562F87" w:rsidP="00633A3E">
            <w:pPr>
              <w:spacing w:line="360" w:lineRule="auto"/>
              <w:ind w:left="108" w:right="108"/>
              <w:jc w:val="both"/>
              <w:textAlignment w:val="baseline"/>
              <w:rPr>
                <w:rFonts w:ascii="Arial" w:hAnsi="Arial" w:cs="Arial"/>
                <w:color w:val="000000"/>
                <w:sz w:val="24"/>
                <w:lang w:val="en-GB"/>
              </w:rPr>
            </w:pPr>
            <w:r w:rsidRPr="00E962DB">
              <w:rPr>
                <w:rFonts w:ascii="Arial" w:hAnsi="Arial" w:cs="Arial"/>
                <w:color w:val="000000"/>
                <w:sz w:val="24"/>
                <w:lang w:val="en-GB"/>
              </w:rPr>
              <w:t xml:space="preserve">Reg. 2(1) of the AEOI  Regulations; Commentary on CRS, Section VIII Subpara. E(3) and (4) page 202. </w:t>
            </w:r>
          </w:p>
        </w:tc>
      </w:tr>
      <w:tr w:rsidR="00562F87" w:rsidRPr="00E962DB" w14:paraId="1DFA49C5"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4690D983" w14:textId="77777777" w:rsidR="00562F87" w:rsidRPr="00E962DB" w:rsidRDefault="00562F87" w:rsidP="00633A3E">
            <w:pPr>
              <w:numPr>
                <w:ilvl w:val="0"/>
                <w:numId w:val="3"/>
              </w:numPr>
              <w:spacing w:line="360" w:lineRule="auto"/>
              <w:ind w:left="144" w:right="108"/>
              <w:jc w:val="both"/>
              <w:textAlignment w:val="baseline"/>
              <w:rPr>
                <w:rFonts w:ascii="Arial" w:hAnsi="Arial" w:cs="Arial"/>
                <w:color w:val="000000"/>
                <w:sz w:val="24"/>
                <w:lang w:val="en-GB"/>
              </w:rPr>
            </w:pPr>
            <w:r w:rsidRPr="00E962DB">
              <w:rPr>
                <w:rFonts w:ascii="Arial" w:hAnsi="Arial" w:cs="Arial"/>
                <w:color w:val="000000"/>
                <w:sz w:val="24"/>
                <w:lang w:val="en-GB"/>
              </w:rPr>
              <w:t>Grandfathering rule for bearer shares issued by Exempt Collective Investment Vehicle</w:t>
            </w:r>
          </w:p>
        </w:tc>
        <w:tc>
          <w:tcPr>
            <w:tcW w:w="2766" w:type="dxa"/>
            <w:tcBorders>
              <w:top w:val="single" w:sz="4" w:space="0" w:color="000000"/>
              <w:left w:val="single" w:sz="4" w:space="0" w:color="000000"/>
              <w:bottom w:val="single" w:sz="4" w:space="0" w:color="000000"/>
              <w:right w:val="single" w:sz="4" w:space="0" w:color="000000"/>
            </w:tcBorders>
          </w:tcPr>
          <w:p w14:paraId="3DF561E3" w14:textId="77777777" w:rsidR="00562F87" w:rsidRPr="00E962DB" w:rsidRDefault="00562F87" w:rsidP="002F62A5">
            <w:pPr>
              <w:spacing w:line="360" w:lineRule="auto"/>
              <w:ind w:left="106"/>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09B91F81" w14:textId="77777777" w:rsidR="00562F87" w:rsidRPr="00E962DB" w:rsidRDefault="00562F87" w:rsidP="00633A3E">
            <w:pPr>
              <w:spacing w:line="360" w:lineRule="auto"/>
              <w:ind w:left="106"/>
              <w:textAlignment w:val="baseline"/>
              <w:rPr>
                <w:rFonts w:ascii="Arial" w:hAnsi="Arial" w:cs="Arial"/>
                <w:color w:val="000000"/>
                <w:sz w:val="24"/>
                <w:lang w:val="en-GB"/>
              </w:rPr>
            </w:pPr>
            <w:r w:rsidRPr="00E962DB">
              <w:rPr>
                <w:rFonts w:ascii="Arial" w:hAnsi="Arial" w:cs="Arial"/>
                <w:color w:val="000000"/>
                <w:sz w:val="24"/>
                <w:lang w:val="en-GB"/>
              </w:rPr>
              <w:t>Para. B9 of Section VIII of CRS</w:t>
            </w:r>
          </w:p>
        </w:tc>
      </w:tr>
      <w:tr w:rsidR="00562F87" w:rsidRPr="00E962DB" w14:paraId="012A26FB" w14:textId="77777777" w:rsidTr="005C0583">
        <w:tc>
          <w:tcPr>
            <w:tcW w:w="4704" w:type="dxa"/>
            <w:tcBorders>
              <w:top w:val="single" w:sz="4" w:space="0" w:color="000000"/>
              <w:left w:val="single" w:sz="4" w:space="0" w:color="000000"/>
              <w:bottom w:val="single" w:sz="4" w:space="0" w:color="000000"/>
              <w:right w:val="single" w:sz="4" w:space="0" w:color="000000"/>
            </w:tcBorders>
          </w:tcPr>
          <w:p w14:paraId="25ECBCFF" w14:textId="77777777" w:rsidR="00562F87" w:rsidRPr="00E962DB" w:rsidRDefault="00562F87" w:rsidP="00633A3E">
            <w:pPr>
              <w:numPr>
                <w:ilvl w:val="0"/>
                <w:numId w:val="3"/>
              </w:numPr>
              <w:tabs>
                <w:tab w:val="left" w:pos="504"/>
              </w:tabs>
              <w:spacing w:line="360" w:lineRule="auto"/>
              <w:ind w:left="144"/>
              <w:textAlignment w:val="baseline"/>
              <w:rPr>
                <w:rFonts w:ascii="Arial" w:hAnsi="Arial" w:cs="Arial"/>
                <w:color w:val="000000"/>
                <w:sz w:val="24"/>
                <w:lang w:val="en-GB"/>
              </w:rPr>
            </w:pPr>
            <w:r w:rsidRPr="00E962DB">
              <w:rPr>
                <w:rFonts w:ascii="Arial" w:hAnsi="Arial" w:cs="Arial"/>
                <w:color w:val="000000"/>
                <w:sz w:val="24"/>
                <w:lang w:val="en-GB"/>
              </w:rPr>
              <w:t>Controlling Persons of a trust or other similar legal arrangement</w:t>
            </w:r>
          </w:p>
        </w:tc>
        <w:tc>
          <w:tcPr>
            <w:tcW w:w="2766" w:type="dxa"/>
            <w:tcBorders>
              <w:top w:val="single" w:sz="4" w:space="0" w:color="000000"/>
              <w:left w:val="single" w:sz="4" w:space="0" w:color="000000"/>
              <w:bottom w:val="single" w:sz="4" w:space="0" w:color="000000"/>
              <w:right w:val="single" w:sz="4" w:space="0" w:color="000000"/>
            </w:tcBorders>
          </w:tcPr>
          <w:p w14:paraId="061B3F7B" w14:textId="77777777" w:rsidR="00562F87" w:rsidRPr="00E962DB" w:rsidRDefault="00562F87" w:rsidP="002F62A5">
            <w:pPr>
              <w:spacing w:line="360" w:lineRule="auto"/>
              <w:ind w:left="72"/>
              <w:jc w:val="center"/>
              <w:textAlignment w:val="baseline"/>
              <w:rPr>
                <w:rFonts w:ascii="Arial" w:hAnsi="Arial" w:cs="Arial"/>
                <w:color w:val="000000"/>
                <w:sz w:val="24"/>
                <w:lang w:val="en-GB"/>
              </w:rPr>
            </w:pPr>
            <w:r w:rsidRPr="00E962DB">
              <w:rPr>
                <w:rFonts w:ascii="Arial" w:hAnsi="Arial" w:cs="Arial"/>
                <w:color w:val="000000"/>
                <w:sz w:val="24"/>
                <w:lang w:val="en-GB"/>
              </w:rPr>
              <w:t>Yes</w:t>
            </w:r>
          </w:p>
        </w:tc>
        <w:tc>
          <w:tcPr>
            <w:tcW w:w="2766" w:type="dxa"/>
            <w:tcBorders>
              <w:top w:val="single" w:sz="4" w:space="0" w:color="000000"/>
              <w:left w:val="single" w:sz="4" w:space="0" w:color="000000"/>
              <w:bottom w:val="single" w:sz="4" w:space="0" w:color="000000"/>
              <w:right w:val="single" w:sz="4" w:space="0" w:color="000000"/>
            </w:tcBorders>
          </w:tcPr>
          <w:p w14:paraId="5E5F180A" w14:textId="77777777" w:rsidR="00562F87" w:rsidRPr="00E962DB" w:rsidRDefault="00562F87" w:rsidP="00633A3E">
            <w:pPr>
              <w:spacing w:line="360" w:lineRule="auto"/>
              <w:ind w:left="72"/>
              <w:textAlignment w:val="baseline"/>
              <w:rPr>
                <w:rFonts w:ascii="Arial" w:hAnsi="Arial" w:cs="Arial"/>
                <w:color w:val="000000"/>
                <w:sz w:val="24"/>
                <w:lang w:val="en-GB"/>
              </w:rPr>
            </w:pPr>
            <w:r w:rsidRPr="00E962DB">
              <w:rPr>
                <w:rFonts w:ascii="Arial" w:hAnsi="Arial" w:cs="Arial"/>
                <w:color w:val="000000"/>
                <w:sz w:val="24"/>
                <w:lang w:val="en-GB"/>
              </w:rPr>
              <w:t>Reg. 2(1) of the AEOI Regulations; Commentary on CRS, Section VIII, page 198</w:t>
            </w:r>
          </w:p>
        </w:tc>
      </w:tr>
    </w:tbl>
    <w:p w14:paraId="49261B83" w14:textId="77777777" w:rsidR="00562F87" w:rsidRPr="00E962DB" w:rsidRDefault="00562F87" w:rsidP="00A057DD">
      <w:pPr>
        <w:spacing w:line="360" w:lineRule="auto"/>
        <w:rPr>
          <w:rFonts w:ascii="Arial" w:hAnsi="Arial" w:cs="Arial"/>
          <w:lang w:val="en-GB"/>
        </w:rPr>
      </w:pPr>
    </w:p>
    <w:p w14:paraId="55FA5080" w14:textId="77777777" w:rsidR="00562F87" w:rsidRPr="00E962DB" w:rsidRDefault="00562F87" w:rsidP="00EF6A40">
      <w:pPr>
        <w:pStyle w:val="Heading2"/>
        <w:keepNext/>
        <w:numPr>
          <w:ilvl w:val="0"/>
          <w:numId w:val="27"/>
        </w:numPr>
        <w:rPr>
          <w:lang w:val="en-GB"/>
        </w:rPr>
      </w:pPr>
      <w:bookmarkStart w:id="118" w:name="_Toc492290977"/>
      <w:r w:rsidRPr="00E962DB">
        <w:rPr>
          <w:lang w:val="en-GB"/>
        </w:rPr>
        <w:t>Reporting Periods Other Than Calendar Year</w:t>
      </w:r>
      <w:bookmarkEnd w:id="118"/>
    </w:p>
    <w:p w14:paraId="7EEF109E" w14:textId="77777777" w:rsidR="00562F87" w:rsidRPr="00E962DB" w:rsidRDefault="00562F87" w:rsidP="000A196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Although, under regulation 5(3) of the CRS Regulations, which imports paragraph A of Section I of CRS, Reporting Financial Institutions are permitted to report with respect to other appropriate reporting periods rather than the calendar year, information must be reported with respect to the calendar year unless there is a reasonable basis for not doing so.</w:t>
      </w:r>
    </w:p>
    <w:p w14:paraId="345D8099" w14:textId="77777777" w:rsidR="00562F87" w:rsidRPr="00E962DB" w:rsidRDefault="00562F87" w:rsidP="000A196D">
      <w:pPr>
        <w:spacing w:line="360" w:lineRule="auto"/>
        <w:jc w:val="both"/>
        <w:textAlignment w:val="baseline"/>
        <w:rPr>
          <w:rFonts w:ascii="Arial" w:hAnsi="Arial" w:cs="Arial"/>
          <w:color w:val="000000"/>
          <w:sz w:val="24"/>
          <w:lang w:val="en-GB"/>
        </w:rPr>
      </w:pPr>
    </w:p>
    <w:p w14:paraId="021B4986" w14:textId="77777777" w:rsidR="00562F87" w:rsidRPr="00E962DB" w:rsidRDefault="00562F87" w:rsidP="00233499">
      <w:pPr>
        <w:spacing w:line="360" w:lineRule="auto"/>
        <w:jc w:val="both"/>
        <w:textAlignment w:val="baseline"/>
        <w:rPr>
          <w:rFonts w:ascii="Arial" w:hAnsi="Arial" w:cs="Arial"/>
          <w:color w:val="000000"/>
          <w:sz w:val="24"/>
        </w:rPr>
      </w:pPr>
      <w:r w:rsidRPr="00E962DB">
        <w:rPr>
          <w:rFonts w:ascii="Arial" w:hAnsi="Arial" w:cs="Arial"/>
          <w:color w:val="000000"/>
          <w:sz w:val="24"/>
        </w:rPr>
        <w:t>For Depository Accounts, the balance or value will be that shown on the 31 December, unless the account is closed prior to that date. For other Financial Accounts, the balance or value will either be that shown on 31 December of the year to be reported or, where it is not possible or usual to value an account at 31 December, the normal valuation point for the account that is nearest to 31 December is to be used.</w:t>
      </w:r>
    </w:p>
    <w:p w14:paraId="6BE04848" w14:textId="77777777" w:rsidR="00562F87" w:rsidRPr="00E962DB" w:rsidRDefault="00562F87" w:rsidP="00233499">
      <w:pPr>
        <w:spacing w:line="360" w:lineRule="auto"/>
        <w:jc w:val="both"/>
        <w:textAlignment w:val="baseline"/>
        <w:rPr>
          <w:rFonts w:ascii="Arial" w:hAnsi="Arial" w:cs="Arial"/>
          <w:color w:val="000000"/>
          <w:sz w:val="24"/>
        </w:rPr>
      </w:pPr>
    </w:p>
    <w:p w14:paraId="1641F19D" w14:textId="77777777" w:rsidR="00562F87" w:rsidRPr="00E962DB" w:rsidRDefault="00562F87" w:rsidP="00233499">
      <w:pPr>
        <w:spacing w:line="360" w:lineRule="auto"/>
        <w:jc w:val="both"/>
        <w:textAlignment w:val="baseline"/>
        <w:rPr>
          <w:rFonts w:ascii="Arial" w:hAnsi="Arial" w:cs="Arial"/>
          <w:color w:val="000000"/>
          <w:sz w:val="24"/>
        </w:rPr>
      </w:pPr>
      <w:r w:rsidRPr="00E962DB">
        <w:rPr>
          <w:rFonts w:ascii="Arial" w:hAnsi="Arial" w:cs="Arial"/>
          <w:color w:val="000000"/>
          <w:sz w:val="24"/>
        </w:rPr>
        <w:t>Example</w:t>
      </w:r>
    </w:p>
    <w:p w14:paraId="7ADEDD63" w14:textId="77777777" w:rsidR="00562F87" w:rsidRPr="00E962DB" w:rsidRDefault="00562F87" w:rsidP="00233499">
      <w:pPr>
        <w:spacing w:line="360" w:lineRule="auto"/>
        <w:jc w:val="both"/>
        <w:textAlignment w:val="baseline"/>
        <w:rPr>
          <w:rFonts w:ascii="Arial" w:hAnsi="Arial" w:cs="Arial"/>
          <w:color w:val="000000"/>
          <w:sz w:val="24"/>
        </w:rPr>
      </w:pPr>
      <w:r w:rsidRPr="00E962DB">
        <w:rPr>
          <w:rFonts w:ascii="Arial" w:hAnsi="Arial" w:cs="Arial"/>
          <w:color w:val="000000"/>
          <w:sz w:val="24"/>
        </w:rPr>
        <w:t>When a Specified Insurance Company has chosen to use the anniversary date of a policy for valuation purposes, if for example the policy was opened on 3 June 2016, it will be valued on 2 June 2017 but will be reported for the year ending 31 December 2017. This will be reported to The Bahamas Competent Authority in 2018.</w:t>
      </w:r>
    </w:p>
    <w:p w14:paraId="52E0187F" w14:textId="77777777" w:rsidR="00562F87" w:rsidRPr="00E962DB" w:rsidRDefault="00562F87" w:rsidP="00233499">
      <w:pPr>
        <w:spacing w:line="360" w:lineRule="auto"/>
        <w:jc w:val="both"/>
        <w:textAlignment w:val="baseline"/>
        <w:rPr>
          <w:rFonts w:ascii="Arial" w:hAnsi="Arial" w:cs="Arial"/>
          <w:color w:val="000000"/>
          <w:sz w:val="24"/>
        </w:rPr>
      </w:pPr>
    </w:p>
    <w:p w14:paraId="7A18B1F3" w14:textId="77777777" w:rsidR="00562F87" w:rsidRPr="00E962DB" w:rsidRDefault="00562F87" w:rsidP="00233499">
      <w:pPr>
        <w:spacing w:line="360" w:lineRule="auto"/>
        <w:jc w:val="both"/>
        <w:textAlignment w:val="baseline"/>
        <w:rPr>
          <w:rFonts w:ascii="Arial" w:hAnsi="Arial" w:cs="Arial"/>
          <w:color w:val="000000"/>
          <w:sz w:val="24"/>
        </w:rPr>
      </w:pPr>
      <w:r w:rsidRPr="00E962DB">
        <w:rPr>
          <w:rFonts w:ascii="Arial" w:hAnsi="Arial" w:cs="Arial"/>
          <w:color w:val="000000"/>
          <w:sz w:val="24"/>
        </w:rPr>
        <w:t>Where 31 December falls on a weekend or non-working day, the date to be used is the last working day before 31 December.</w:t>
      </w:r>
    </w:p>
    <w:p w14:paraId="206FB41C" w14:textId="77777777" w:rsidR="00562F87" w:rsidRPr="00E962DB" w:rsidRDefault="00562F87" w:rsidP="00233499">
      <w:pPr>
        <w:spacing w:line="360" w:lineRule="auto"/>
        <w:jc w:val="both"/>
        <w:textAlignment w:val="baseline"/>
        <w:rPr>
          <w:rFonts w:ascii="Arial" w:hAnsi="Arial" w:cs="Arial"/>
          <w:color w:val="000000"/>
          <w:sz w:val="24"/>
        </w:rPr>
      </w:pPr>
    </w:p>
    <w:p w14:paraId="785D6152" w14:textId="77777777" w:rsidR="00562F87" w:rsidRPr="00E962DB" w:rsidRDefault="00562F87" w:rsidP="00065CD7">
      <w:pPr>
        <w:pStyle w:val="Heading2"/>
        <w:keepNext/>
        <w:numPr>
          <w:ilvl w:val="0"/>
          <w:numId w:val="27"/>
        </w:numPr>
        <w:rPr>
          <w:lang w:val="en-GB"/>
        </w:rPr>
      </w:pPr>
      <w:bookmarkStart w:id="119" w:name="_Toc492290978"/>
      <w:r w:rsidRPr="00E962DB">
        <w:rPr>
          <w:lang w:val="en-GB"/>
        </w:rPr>
        <w:t>Nil returns</w:t>
      </w:r>
      <w:bookmarkEnd w:id="119"/>
    </w:p>
    <w:p w14:paraId="316B8E1C"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Bahamas Reporting Financial Institutions are not required to file nil returns with The Bahamas Competent Authority. Nevertheless all Financial Institutions must register with The Bahamas Competent Authority</w:t>
      </w:r>
    </w:p>
    <w:p w14:paraId="0637A3D0" w14:textId="77777777" w:rsidR="00562F87" w:rsidRPr="00E962DB" w:rsidRDefault="00562F87" w:rsidP="00A057DD">
      <w:pPr>
        <w:spacing w:line="360" w:lineRule="auto"/>
        <w:textAlignment w:val="baseline"/>
        <w:rPr>
          <w:rFonts w:ascii="Arial" w:hAnsi="Arial" w:cs="Arial"/>
          <w:b/>
          <w:color w:val="4F81BC"/>
          <w:sz w:val="26"/>
          <w:lang w:val="en-GB"/>
        </w:rPr>
      </w:pPr>
    </w:p>
    <w:p w14:paraId="1F941BA9" w14:textId="77777777" w:rsidR="00562F87" w:rsidRPr="00E962DB" w:rsidRDefault="00562F87" w:rsidP="008D1077">
      <w:pPr>
        <w:pStyle w:val="Heading2"/>
        <w:numPr>
          <w:ilvl w:val="0"/>
          <w:numId w:val="27"/>
        </w:numPr>
        <w:rPr>
          <w:lang w:val="en-GB"/>
        </w:rPr>
      </w:pPr>
      <w:bookmarkStart w:id="120" w:name="_Toc492290979"/>
      <w:r w:rsidRPr="00E962DB">
        <w:rPr>
          <w:lang w:val="en-GB"/>
        </w:rPr>
        <w:t>Third party service providers</w:t>
      </w:r>
      <w:bookmarkEnd w:id="120"/>
    </w:p>
    <w:p w14:paraId="0FF5E59C"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Under Section 8 of the CRS Act, Reporting Financial Institutions may rely on a third-party service provider to fulfil due diligence and reporting obligations under the CRS Regulations. However, the Reporting Financial Institution remains ultimately responsible for fulfilling these obligations and any failures on the part of the service provider are imputed to the Reporting Financial Institution.</w:t>
      </w:r>
    </w:p>
    <w:p w14:paraId="67764286"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3EE2F901"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Where a Reporting Financial Institution is an Investment Entity because it is managed by another Reporting Financial Institution it should nevertheless fulfil its own due diligence and reporting obligations unless the managing entity has expressly agreed to do so. </w:t>
      </w:r>
    </w:p>
    <w:p w14:paraId="24776B8A" w14:textId="77777777" w:rsidR="00562F87" w:rsidRPr="00E962DB" w:rsidRDefault="00562F87" w:rsidP="00A057DD">
      <w:pPr>
        <w:spacing w:line="360" w:lineRule="auto"/>
        <w:textAlignment w:val="baseline"/>
        <w:rPr>
          <w:rFonts w:ascii="Arial" w:hAnsi="Arial" w:cs="Arial"/>
          <w:b/>
          <w:color w:val="4F81BC"/>
          <w:sz w:val="26"/>
          <w:lang w:val="en-GB"/>
        </w:rPr>
      </w:pPr>
    </w:p>
    <w:p w14:paraId="14654E40" w14:textId="77777777" w:rsidR="00562F87" w:rsidRPr="00E962DB" w:rsidRDefault="00562F87" w:rsidP="008D1077">
      <w:pPr>
        <w:pStyle w:val="Heading2"/>
        <w:numPr>
          <w:ilvl w:val="0"/>
          <w:numId w:val="27"/>
        </w:numPr>
        <w:rPr>
          <w:lang w:val="en-GB"/>
        </w:rPr>
      </w:pPr>
      <w:bookmarkStart w:id="121" w:name="_Toc492290980"/>
      <w:r w:rsidRPr="00E962DB">
        <w:rPr>
          <w:lang w:val="en-GB"/>
        </w:rPr>
        <w:t>Threshold Exemption</w:t>
      </w:r>
      <w:bookmarkEnd w:id="121"/>
    </w:p>
    <w:p w14:paraId="0D779ACF" w14:textId="77777777" w:rsidR="00562F87" w:rsidRPr="00E962DB" w:rsidRDefault="00562F87">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The CRS Regulations allow Reporting Financial Institutions to apply a threshold exemption for the review, identification and reporting of Preexisting Entity Accounts. For Reporting Financial Institutions applying the threshold exemption, Preexisting Entity Accounts with a balance or value not exceeding $250,000 at 30 June 2017 do not need to be reviewed, identified or reported until the account balance exceeds $250,000 at 31 December of a subsequent calendar year. </w:t>
      </w:r>
    </w:p>
    <w:p w14:paraId="407ABB76"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3F76638D"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For the avoidance of doubt, there is no threshold exemption for the review, identification or reporting of New Entity Accounts, Preexisting Individual Accounts or New Individuals Accounts.</w:t>
      </w:r>
    </w:p>
    <w:p w14:paraId="3BD5EF37"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1946E667"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Reporting Financial Institutions applying the threshold exemptions must keep an internal record of the application of the exemptions as part of the policies and procedures which they are required to have in place in accordance with the CRS Regulations.</w:t>
      </w:r>
    </w:p>
    <w:p w14:paraId="5001B397" w14:textId="77777777" w:rsidR="00562F87" w:rsidRPr="00E962DB" w:rsidRDefault="00562F87" w:rsidP="00A272F8">
      <w:pPr>
        <w:jc w:val="both"/>
        <w:rPr>
          <w:rFonts w:ascii="Arial" w:hAnsi="Arial" w:cs="Arial"/>
          <w:bCs/>
          <w:iCs/>
          <w:color w:val="4472C4"/>
          <w:sz w:val="24"/>
          <w:szCs w:val="24"/>
        </w:rPr>
      </w:pPr>
    </w:p>
    <w:p w14:paraId="6C538E35" w14:textId="77777777" w:rsidR="00562F87" w:rsidRPr="00E962DB" w:rsidRDefault="00562F87" w:rsidP="00A272F8">
      <w:pPr>
        <w:jc w:val="both"/>
        <w:rPr>
          <w:rFonts w:ascii="Arial" w:hAnsi="Arial" w:cs="Arial"/>
          <w:bCs/>
          <w:iCs/>
          <w:color w:val="4472C4"/>
          <w:sz w:val="24"/>
          <w:szCs w:val="24"/>
        </w:rPr>
      </w:pPr>
    </w:p>
    <w:p w14:paraId="5C8365BD" w14:textId="0A23AA2C" w:rsidR="00562F87" w:rsidRPr="00E962DB" w:rsidRDefault="00562F87" w:rsidP="00A272F8">
      <w:pPr>
        <w:spacing w:line="360" w:lineRule="auto"/>
        <w:jc w:val="both"/>
        <w:rPr>
          <w:rFonts w:ascii="Arial" w:hAnsi="Arial" w:cs="Arial"/>
          <w:bCs/>
          <w:iCs/>
          <w:color w:val="4472C4"/>
          <w:sz w:val="24"/>
          <w:szCs w:val="24"/>
        </w:rPr>
      </w:pPr>
      <w:r w:rsidRPr="00E962DB">
        <w:rPr>
          <w:rFonts w:ascii="Arial" w:hAnsi="Arial" w:cs="Arial"/>
          <w:bCs/>
          <w:iCs/>
          <w:color w:val="4472C4"/>
          <w:sz w:val="24"/>
          <w:szCs w:val="24"/>
        </w:rPr>
        <w:t xml:space="preserve">For Financial Institutions applying the threshold exemption, Pre-existing Entity Accounts with a balance or value not exceeding US$250,000 at 31 December </w:t>
      </w:r>
      <w:r w:rsidRPr="00E962DB">
        <w:rPr>
          <w:rFonts w:ascii="Arial" w:hAnsi="Arial" w:cs="Arial"/>
          <w:bCs/>
          <w:iCs/>
          <w:color w:val="FF0000"/>
          <w:sz w:val="24"/>
          <w:szCs w:val="24"/>
        </w:rPr>
        <w:t xml:space="preserve">2017 </w:t>
      </w:r>
      <w:r w:rsidRPr="00E962DB">
        <w:rPr>
          <w:rFonts w:ascii="Arial" w:hAnsi="Arial" w:cs="Arial"/>
          <w:bCs/>
          <w:iCs/>
          <w:color w:val="4472C4"/>
          <w:sz w:val="24"/>
          <w:szCs w:val="24"/>
        </w:rPr>
        <w:t>do not need to be reviewed, identified or reported until the account balance exceeds US$250,000 at 31 December of a subsequent calendar year. Financial Institutions applying the threshold exemption must keep an internal record of the application of the exemption as part of the policies and procedures which they are required to have in place in accordance with the CRS Regulations.</w:t>
      </w:r>
      <w:r w:rsidR="007644CD" w:rsidRPr="00E962DB">
        <w:rPr>
          <w:rFonts w:ascii="Arial" w:hAnsi="Arial" w:cs="Arial"/>
          <w:bCs/>
          <w:iCs/>
          <w:color w:val="4472C4"/>
          <w:sz w:val="24"/>
          <w:szCs w:val="24"/>
        </w:rPr>
        <w:t xml:space="preserve"> The </w:t>
      </w:r>
      <w:r w:rsidR="00207F68" w:rsidRPr="00E962DB">
        <w:rPr>
          <w:rFonts w:ascii="Arial" w:hAnsi="Arial" w:cs="Arial"/>
          <w:bCs/>
          <w:iCs/>
          <w:color w:val="4472C4"/>
          <w:sz w:val="24"/>
          <w:szCs w:val="24"/>
        </w:rPr>
        <w:t>A</w:t>
      </w:r>
      <w:r w:rsidR="007644CD" w:rsidRPr="00E962DB">
        <w:rPr>
          <w:rFonts w:ascii="Arial" w:hAnsi="Arial" w:cs="Arial"/>
          <w:bCs/>
          <w:iCs/>
          <w:color w:val="4472C4"/>
          <w:sz w:val="24"/>
          <w:szCs w:val="24"/>
        </w:rPr>
        <w:t xml:space="preserve">ccount </w:t>
      </w:r>
      <w:r w:rsidR="00207F68" w:rsidRPr="00E962DB">
        <w:rPr>
          <w:rFonts w:ascii="Arial" w:hAnsi="Arial" w:cs="Arial"/>
          <w:bCs/>
          <w:iCs/>
          <w:color w:val="4472C4"/>
          <w:sz w:val="24"/>
          <w:szCs w:val="24"/>
        </w:rPr>
        <w:t>A</w:t>
      </w:r>
      <w:r w:rsidR="007644CD" w:rsidRPr="00E962DB">
        <w:rPr>
          <w:rFonts w:ascii="Arial" w:hAnsi="Arial" w:cs="Arial"/>
          <w:bCs/>
          <w:iCs/>
          <w:color w:val="4472C4"/>
          <w:sz w:val="24"/>
          <w:szCs w:val="24"/>
        </w:rPr>
        <w:t xml:space="preserve">ggregation Rules apply. Refer to </w:t>
      </w:r>
      <w:r w:rsidR="00207F68" w:rsidRPr="00E962DB">
        <w:rPr>
          <w:rFonts w:ascii="Arial" w:hAnsi="Arial" w:cs="Arial"/>
          <w:bCs/>
          <w:iCs/>
          <w:color w:val="4472C4"/>
          <w:sz w:val="24"/>
          <w:szCs w:val="24"/>
        </w:rPr>
        <w:t>T</w:t>
      </w:r>
      <w:r w:rsidR="007644CD" w:rsidRPr="00E962DB">
        <w:rPr>
          <w:rFonts w:ascii="Arial" w:hAnsi="Arial" w:cs="Arial"/>
          <w:bCs/>
          <w:iCs/>
          <w:color w:val="4472C4"/>
          <w:sz w:val="24"/>
          <w:szCs w:val="24"/>
        </w:rPr>
        <w:t xml:space="preserve">he </w:t>
      </w:r>
      <w:r w:rsidR="00207F68" w:rsidRPr="00E962DB">
        <w:rPr>
          <w:rFonts w:ascii="Arial" w:hAnsi="Arial" w:cs="Arial"/>
          <w:bCs/>
          <w:iCs/>
          <w:color w:val="4472C4"/>
          <w:sz w:val="24"/>
          <w:szCs w:val="24"/>
        </w:rPr>
        <w:t>C</w:t>
      </w:r>
      <w:r w:rsidR="007644CD" w:rsidRPr="00E962DB">
        <w:rPr>
          <w:rFonts w:ascii="Arial" w:hAnsi="Arial" w:cs="Arial"/>
          <w:bCs/>
          <w:iCs/>
          <w:color w:val="4472C4"/>
          <w:sz w:val="24"/>
          <w:szCs w:val="24"/>
        </w:rPr>
        <w:t xml:space="preserve">ommentary Section VII at pages 154 – 156. </w:t>
      </w:r>
    </w:p>
    <w:p w14:paraId="37E2DF73" w14:textId="77777777" w:rsidR="00562F87" w:rsidRPr="00E962DB" w:rsidRDefault="00562F87" w:rsidP="00A272F8"/>
    <w:p w14:paraId="15A305D0" w14:textId="77777777" w:rsidR="00562F87" w:rsidRPr="00E962DB" w:rsidRDefault="00562F87" w:rsidP="00A057DD">
      <w:pPr>
        <w:spacing w:line="360" w:lineRule="auto"/>
        <w:textAlignment w:val="baseline"/>
        <w:rPr>
          <w:rFonts w:ascii="Arial" w:hAnsi="Arial" w:cs="Arial"/>
          <w:b/>
          <w:color w:val="4F81BC"/>
          <w:sz w:val="26"/>
        </w:rPr>
      </w:pPr>
    </w:p>
    <w:p w14:paraId="2A22B788" w14:textId="77777777" w:rsidR="00562F87" w:rsidRPr="00E962DB" w:rsidRDefault="00562F87" w:rsidP="008D1077">
      <w:pPr>
        <w:pStyle w:val="Heading2"/>
        <w:numPr>
          <w:ilvl w:val="0"/>
          <w:numId w:val="27"/>
        </w:numPr>
        <w:rPr>
          <w:lang w:val="en-GB"/>
        </w:rPr>
      </w:pPr>
      <w:bookmarkStart w:id="122" w:name="_Toc492290981"/>
      <w:r w:rsidRPr="00E962DB">
        <w:rPr>
          <w:lang w:val="en-GB"/>
        </w:rPr>
        <w:t>Due Diligence Modifications</w:t>
      </w:r>
      <w:bookmarkEnd w:id="122"/>
    </w:p>
    <w:p w14:paraId="10E7B460" w14:textId="77777777" w:rsidR="00562F87" w:rsidRPr="00E962DB" w:rsidRDefault="00562F87" w:rsidP="00EE0AD9">
      <w:pPr>
        <w:spacing w:line="360" w:lineRule="auto"/>
        <w:jc w:val="both"/>
        <w:textAlignment w:val="baseline"/>
        <w:rPr>
          <w:rFonts w:ascii="Arial" w:hAnsi="Arial" w:cs="Arial"/>
          <w:color w:val="000000"/>
          <w:sz w:val="24"/>
          <w:lang w:val="en-GB"/>
        </w:rPr>
      </w:pPr>
      <w:r w:rsidRPr="00E962DB">
        <w:rPr>
          <w:rFonts w:ascii="Arial" w:hAnsi="Arial" w:cs="Arial"/>
          <w:color w:val="000000"/>
          <w:spacing w:val="3"/>
          <w:sz w:val="24"/>
          <w:lang w:val="en-GB"/>
        </w:rPr>
        <w:t>Under the CRS Regulations, Reporting Financial Institutions may choose to apply modified due</w:t>
      </w:r>
      <w:r w:rsidRPr="00E962DB">
        <w:rPr>
          <w:rFonts w:ascii="Arial" w:hAnsi="Arial" w:cs="Arial"/>
          <w:color w:val="000000"/>
          <w:sz w:val="24"/>
          <w:lang w:val="en-GB"/>
        </w:rPr>
        <w:t xml:space="preserve"> diligence rules. This includes:</w:t>
      </w:r>
    </w:p>
    <w:p w14:paraId="23FF83CB" w14:textId="77777777" w:rsidR="00562F87" w:rsidRPr="00E962DB" w:rsidRDefault="00562F87" w:rsidP="00A057DD">
      <w:pPr>
        <w:numPr>
          <w:ilvl w:val="0"/>
          <w:numId w:val="1"/>
        </w:numPr>
        <w:tabs>
          <w:tab w:val="clear" w:pos="360"/>
          <w:tab w:val="left" w:pos="720"/>
        </w:tabs>
        <w:spacing w:line="360" w:lineRule="auto"/>
        <w:ind w:hanging="360"/>
        <w:jc w:val="both"/>
        <w:textAlignment w:val="baseline"/>
        <w:rPr>
          <w:rFonts w:ascii="Arial" w:hAnsi="Arial" w:cs="Arial"/>
          <w:color w:val="000000"/>
          <w:sz w:val="24"/>
          <w:lang w:val="en-GB"/>
        </w:rPr>
      </w:pPr>
      <w:r w:rsidRPr="00E962DB">
        <w:rPr>
          <w:rFonts w:ascii="Arial" w:hAnsi="Arial" w:cs="Arial"/>
          <w:color w:val="000000"/>
          <w:sz w:val="24"/>
          <w:lang w:val="en-GB"/>
        </w:rPr>
        <w:t>Applying the due diligence procedures for New Accounts to Preexisting Accounts – regulation 4(1)(c) and 4(2)-(4) of the CRS Regulations; and</w:t>
      </w:r>
    </w:p>
    <w:p w14:paraId="1C6FD013" w14:textId="77777777" w:rsidR="00562F87" w:rsidRPr="00E962DB" w:rsidRDefault="00562F87" w:rsidP="00A057DD">
      <w:pPr>
        <w:numPr>
          <w:ilvl w:val="0"/>
          <w:numId w:val="1"/>
        </w:numPr>
        <w:tabs>
          <w:tab w:val="clear" w:pos="360"/>
          <w:tab w:val="left" w:pos="720"/>
        </w:tabs>
        <w:spacing w:line="360" w:lineRule="auto"/>
        <w:ind w:hanging="360"/>
        <w:jc w:val="both"/>
        <w:textAlignment w:val="baseline"/>
        <w:rPr>
          <w:rFonts w:ascii="Arial" w:hAnsi="Arial" w:cs="Arial"/>
          <w:color w:val="000000"/>
          <w:sz w:val="24"/>
          <w:lang w:val="en-GB"/>
        </w:rPr>
      </w:pPr>
      <w:r w:rsidRPr="00E962DB">
        <w:rPr>
          <w:rFonts w:ascii="Arial" w:hAnsi="Arial" w:cs="Arial"/>
          <w:color w:val="000000"/>
          <w:sz w:val="24"/>
          <w:lang w:val="en-GB"/>
        </w:rPr>
        <w:t>Applying the due diligence procedures for High Value Accounts to Lower Value Accounts – regulation 4(1)(b) of the CRS Regulations.</w:t>
      </w:r>
    </w:p>
    <w:p w14:paraId="088E2DC4" w14:textId="77777777" w:rsidR="00562F87" w:rsidRPr="00E962DB" w:rsidRDefault="00562F87" w:rsidP="002F62A5">
      <w:pPr>
        <w:pStyle w:val="Heading2"/>
        <w:rPr>
          <w:lang w:val="en-GB"/>
        </w:rPr>
      </w:pPr>
    </w:p>
    <w:p w14:paraId="517E68E8" w14:textId="77777777" w:rsidR="00562F87" w:rsidRPr="00E962DB" w:rsidRDefault="00562F87" w:rsidP="008D1077">
      <w:pPr>
        <w:pStyle w:val="Heading2"/>
        <w:numPr>
          <w:ilvl w:val="0"/>
          <w:numId w:val="27"/>
        </w:numPr>
        <w:rPr>
          <w:lang w:val="en-GB"/>
        </w:rPr>
      </w:pPr>
      <w:bookmarkStart w:id="123" w:name="_Toc492290982"/>
      <w:r w:rsidRPr="00E962DB">
        <w:rPr>
          <w:lang w:val="en-GB"/>
        </w:rPr>
        <w:t>Residence Address Test for Lower Value Accounts</w:t>
      </w:r>
      <w:bookmarkEnd w:id="123"/>
    </w:p>
    <w:p w14:paraId="798B68AA" w14:textId="77777777" w:rsidR="00FA5FAB" w:rsidRPr="00E962DB" w:rsidRDefault="00FA5FAB" w:rsidP="00A057DD">
      <w:pPr>
        <w:spacing w:line="360" w:lineRule="auto"/>
        <w:jc w:val="both"/>
        <w:textAlignment w:val="baseline"/>
        <w:rPr>
          <w:rFonts w:ascii="Arial" w:hAnsi="Arial" w:cs="Arial"/>
          <w:iCs/>
          <w:color w:val="222222"/>
          <w:sz w:val="24"/>
          <w:szCs w:val="24"/>
          <w:shd w:val="clear" w:color="auto" w:fill="FFFFFF"/>
        </w:rPr>
      </w:pPr>
    </w:p>
    <w:p w14:paraId="4E3AD5D9" w14:textId="70438856" w:rsidR="00207F68" w:rsidRPr="00E962DB" w:rsidRDefault="00130A52" w:rsidP="00A057DD">
      <w:pPr>
        <w:spacing w:line="360" w:lineRule="auto"/>
        <w:jc w:val="both"/>
        <w:textAlignment w:val="baseline"/>
        <w:rPr>
          <w:rFonts w:ascii="Arial" w:hAnsi="Arial" w:cs="Arial"/>
          <w:color w:val="000000"/>
          <w:spacing w:val="10"/>
          <w:sz w:val="24"/>
          <w:szCs w:val="24"/>
          <w:lang w:val="en-GB"/>
        </w:rPr>
      </w:pPr>
      <w:r w:rsidRPr="00E962DB">
        <w:rPr>
          <w:rFonts w:ascii="Arial" w:hAnsi="Arial" w:cs="Arial"/>
          <w:iCs/>
          <w:color w:val="222222"/>
          <w:sz w:val="24"/>
          <w:szCs w:val="24"/>
          <w:shd w:val="clear" w:color="auto" w:fill="FFFFFF"/>
        </w:rPr>
        <w:t>For the purposes of determining whether an individual Account Holder is a Reportable Person, the Reporting  Financial Institution may treat such individual as being a resident for tax purposes of the jurisdiction in which an address is located if: </w:t>
      </w:r>
      <w:r w:rsidRPr="00E962DB">
        <w:rPr>
          <w:rFonts w:ascii="Arial" w:hAnsi="Arial" w:cs="Arial"/>
          <w:iCs/>
          <w:color w:val="222222"/>
          <w:sz w:val="24"/>
          <w:szCs w:val="24"/>
          <w:u w:val="single"/>
          <w:shd w:val="clear" w:color="auto" w:fill="FFFFFF"/>
        </w:rPr>
        <w:t>(a) the Reporting Financial Institution has in its records a residence address for the individual Account Holder;</w:t>
      </w:r>
      <w:r w:rsidRPr="00E962DB">
        <w:rPr>
          <w:rFonts w:ascii="Arial" w:hAnsi="Arial" w:cs="Arial"/>
          <w:iCs/>
          <w:color w:val="222222"/>
          <w:sz w:val="24"/>
          <w:szCs w:val="24"/>
          <w:shd w:val="clear" w:color="auto" w:fill="FFFFFF"/>
        </w:rPr>
        <w:t> (b) such residence address is current; and (c) such residence address is based on Documentary Evidence</w:t>
      </w:r>
      <w:r w:rsidRPr="00E962DB">
        <w:rPr>
          <w:rFonts w:ascii="Arial" w:hAnsi="Arial" w:cs="Arial"/>
          <w:color w:val="222222"/>
          <w:sz w:val="24"/>
          <w:szCs w:val="24"/>
          <w:shd w:val="clear" w:color="auto" w:fill="FFFFFF"/>
        </w:rPr>
        <w:t>.</w:t>
      </w:r>
      <w:r w:rsidR="00FA5FAB" w:rsidRPr="00E962DB">
        <w:rPr>
          <w:rFonts w:ascii="Arial" w:hAnsi="Arial" w:cs="Arial"/>
          <w:color w:val="222222"/>
          <w:sz w:val="24"/>
          <w:szCs w:val="24"/>
          <w:shd w:val="clear" w:color="auto" w:fill="FFFFFF"/>
        </w:rPr>
        <w:t xml:space="preserve"> Refer to </w:t>
      </w:r>
      <w:r w:rsidR="00207F68" w:rsidRPr="00E962DB">
        <w:rPr>
          <w:rFonts w:ascii="Arial" w:hAnsi="Arial" w:cs="Arial"/>
          <w:color w:val="222222"/>
          <w:sz w:val="24"/>
          <w:szCs w:val="24"/>
          <w:shd w:val="clear" w:color="auto" w:fill="FFFFFF"/>
        </w:rPr>
        <w:t xml:space="preserve">The </w:t>
      </w:r>
      <w:r w:rsidR="00FA5FAB" w:rsidRPr="00E962DB">
        <w:rPr>
          <w:rFonts w:ascii="Arial" w:hAnsi="Arial" w:cs="Arial"/>
          <w:color w:val="222222"/>
          <w:sz w:val="24"/>
          <w:szCs w:val="24"/>
          <w:shd w:val="clear" w:color="auto" w:fill="FFFFFF"/>
        </w:rPr>
        <w:t>Commentary</w:t>
      </w:r>
      <w:r w:rsidR="00207F68" w:rsidRPr="00E962DB">
        <w:rPr>
          <w:rFonts w:ascii="Arial" w:hAnsi="Arial" w:cs="Arial"/>
          <w:color w:val="222222"/>
          <w:sz w:val="24"/>
          <w:szCs w:val="24"/>
          <w:shd w:val="clear" w:color="auto" w:fill="FFFFFF"/>
        </w:rPr>
        <w:t xml:space="preserve"> </w:t>
      </w:r>
      <w:r w:rsidR="00FA5FAB" w:rsidRPr="00E962DB">
        <w:rPr>
          <w:rFonts w:ascii="Arial" w:hAnsi="Arial" w:cs="Arial"/>
          <w:color w:val="222222"/>
          <w:sz w:val="24"/>
          <w:szCs w:val="24"/>
          <w:shd w:val="clear" w:color="auto" w:fill="FFFFFF"/>
        </w:rPr>
        <w:t xml:space="preserve">Section III pages 111- 116. </w:t>
      </w:r>
    </w:p>
    <w:p w14:paraId="161A7F7F" w14:textId="77777777" w:rsidR="00207F68" w:rsidRPr="00E962DB" w:rsidRDefault="00207F68" w:rsidP="00A057DD">
      <w:pPr>
        <w:spacing w:line="360" w:lineRule="auto"/>
        <w:jc w:val="both"/>
        <w:textAlignment w:val="baseline"/>
        <w:rPr>
          <w:rFonts w:ascii="Arial" w:hAnsi="Arial" w:cs="Arial"/>
          <w:color w:val="000000"/>
          <w:spacing w:val="10"/>
          <w:sz w:val="24"/>
          <w:szCs w:val="24"/>
          <w:lang w:val="en-GB"/>
        </w:rPr>
      </w:pPr>
    </w:p>
    <w:p w14:paraId="390B1FBD" w14:textId="77777777" w:rsidR="00207F68" w:rsidRPr="00E962DB" w:rsidRDefault="00207F68" w:rsidP="00A057DD">
      <w:pPr>
        <w:spacing w:line="360" w:lineRule="auto"/>
        <w:jc w:val="both"/>
        <w:textAlignment w:val="baseline"/>
        <w:rPr>
          <w:rFonts w:ascii="Arial" w:hAnsi="Arial" w:cs="Arial"/>
          <w:color w:val="000000"/>
          <w:spacing w:val="10"/>
          <w:sz w:val="24"/>
          <w:szCs w:val="24"/>
          <w:lang w:val="en-GB"/>
        </w:rPr>
      </w:pPr>
    </w:p>
    <w:p w14:paraId="6A5E5407" w14:textId="475D4665" w:rsidR="00207F68" w:rsidRPr="00E962DB" w:rsidRDefault="00207F68" w:rsidP="00A057DD">
      <w:pPr>
        <w:spacing w:line="360" w:lineRule="auto"/>
        <w:jc w:val="both"/>
        <w:textAlignment w:val="baseline"/>
        <w:rPr>
          <w:rFonts w:ascii="Arial" w:hAnsi="Arial" w:cs="Arial"/>
          <w:b/>
          <w:color w:val="4F81BC"/>
          <w:sz w:val="26"/>
          <w:lang w:val="en-GB"/>
        </w:rPr>
      </w:pPr>
      <w:r w:rsidRPr="00E962DB">
        <w:rPr>
          <w:rFonts w:ascii="Arial" w:hAnsi="Arial" w:cs="Arial"/>
          <w:color w:val="000000"/>
          <w:spacing w:val="10"/>
          <w:sz w:val="24"/>
          <w:szCs w:val="24"/>
          <w:lang w:val="en-GB"/>
        </w:rPr>
        <w:t>I</w:t>
      </w:r>
    </w:p>
    <w:p w14:paraId="1655906B" w14:textId="77777777" w:rsidR="00562F87" w:rsidRPr="00E962DB" w:rsidRDefault="00562F87" w:rsidP="008D1077">
      <w:pPr>
        <w:pStyle w:val="Heading2"/>
        <w:numPr>
          <w:ilvl w:val="0"/>
          <w:numId w:val="27"/>
        </w:numPr>
        <w:ind w:left="0" w:firstLine="0"/>
        <w:rPr>
          <w:lang w:val="en-GB"/>
        </w:rPr>
      </w:pPr>
      <w:bookmarkStart w:id="124" w:name="_Toc492290983"/>
      <w:r w:rsidRPr="00E962DB">
        <w:rPr>
          <w:lang w:val="en-GB"/>
        </w:rPr>
        <w:t>Group Cash Value Insurance Contracts or Group Annuity Contracts</w:t>
      </w:r>
      <w:bookmarkEnd w:id="124"/>
    </w:p>
    <w:p w14:paraId="6B9206BA"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Under the CRS Regulations, a Reporting Financial Institution may treat an account that is a Group Cash Value Insurance Contract or a Group Annuity Contract, as a non-reportable account until the date on which an amount is payable to an employee/certificate holder or beneficiary, if the Financial Account that is a member’s interest in a Group Cash Value Insurance Contract or Group Annuity Contract meets the following requirements:</w:t>
      </w:r>
    </w:p>
    <w:p w14:paraId="5C18EDB4" w14:textId="77777777" w:rsidR="00562F87" w:rsidRPr="00E962DB" w:rsidRDefault="00562F87" w:rsidP="00A057DD">
      <w:pPr>
        <w:numPr>
          <w:ilvl w:val="0"/>
          <w:numId w:val="1"/>
        </w:numPr>
        <w:tabs>
          <w:tab w:val="clear" w:pos="360"/>
          <w:tab w:val="left" w:pos="720"/>
        </w:tabs>
        <w:spacing w:line="360" w:lineRule="auto"/>
        <w:ind w:hanging="360"/>
        <w:jc w:val="both"/>
        <w:textAlignment w:val="baseline"/>
        <w:rPr>
          <w:rFonts w:ascii="Arial" w:hAnsi="Arial" w:cs="Arial"/>
          <w:color w:val="000000"/>
          <w:sz w:val="24"/>
          <w:lang w:val="en-GB"/>
        </w:rPr>
      </w:pPr>
      <w:r w:rsidRPr="00E962DB">
        <w:rPr>
          <w:rFonts w:ascii="Arial" w:hAnsi="Arial" w:cs="Arial"/>
          <w:color w:val="000000"/>
          <w:sz w:val="24"/>
          <w:lang w:val="en-GB"/>
        </w:rPr>
        <w:t>The Group Cash Value Insurance Contract or Group Annuity Contract is issued to an employer and covers 25 or more employees/certificate holders;</w:t>
      </w:r>
    </w:p>
    <w:p w14:paraId="4363EE07" w14:textId="77777777" w:rsidR="00562F87" w:rsidRPr="00E962DB" w:rsidRDefault="00562F87" w:rsidP="00A057DD">
      <w:pPr>
        <w:numPr>
          <w:ilvl w:val="0"/>
          <w:numId w:val="1"/>
        </w:numPr>
        <w:tabs>
          <w:tab w:val="clear" w:pos="360"/>
          <w:tab w:val="left" w:pos="720"/>
        </w:tabs>
        <w:spacing w:line="360" w:lineRule="auto"/>
        <w:ind w:hanging="360"/>
        <w:jc w:val="both"/>
        <w:textAlignment w:val="baseline"/>
        <w:rPr>
          <w:rFonts w:ascii="Arial" w:hAnsi="Arial" w:cs="Arial"/>
          <w:color w:val="000000"/>
          <w:sz w:val="24"/>
          <w:lang w:val="en-GB"/>
        </w:rPr>
      </w:pPr>
      <w:r w:rsidRPr="00E962DB">
        <w:rPr>
          <w:rFonts w:ascii="Arial" w:hAnsi="Arial" w:cs="Arial"/>
          <w:color w:val="000000"/>
          <w:sz w:val="24"/>
          <w:lang w:val="en-GB"/>
        </w:rPr>
        <w:t>The employees/certificate holders are entitled to receive any contract value related to their interests and to name beneficiaries for the benefit payable upon the employee’s death; and</w:t>
      </w:r>
    </w:p>
    <w:p w14:paraId="6BAF6200" w14:textId="77777777" w:rsidR="00562F87" w:rsidRPr="00E962DB" w:rsidRDefault="00562F87" w:rsidP="00A057DD">
      <w:pPr>
        <w:numPr>
          <w:ilvl w:val="0"/>
          <w:numId w:val="1"/>
        </w:numPr>
        <w:tabs>
          <w:tab w:val="clear" w:pos="360"/>
          <w:tab w:val="left" w:pos="720"/>
        </w:tabs>
        <w:spacing w:line="360" w:lineRule="auto"/>
        <w:ind w:hanging="360"/>
        <w:jc w:val="both"/>
        <w:textAlignment w:val="baseline"/>
        <w:rPr>
          <w:rFonts w:ascii="Arial" w:hAnsi="Arial" w:cs="Arial"/>
          <w:color w:val="000000"/>
          <w:sz w:val="24"/>
          <w:lang w:val="en-GB"/>
        </w:rPr>
      </w:pPr>
      <w:r w:rsidRPr="00E962DB">
        <w:rPr>
          <w:rFonts w:ascii="Arial" w:hAnsi="Arial" w:cs="Arial"/>
          <w:color w:val="000000"/>
          <w:sz w:val="24"/>
          <w:lang w:val="en-GB"/>
        </w:rPr>
        <w:t>The aggregate amount payable to any employee/certificate holder or beneficiary does not exceed $1,000,000.</w:t>
      </w:r>
    </w:p>
    <w:p w14:paraId="424F8393" w14:textId="77777777" w:rsidR="00562F87" w:rsidRPr="00E962DB" w:rsidRDefault="00562F87" w:rsidP="00A057DD">
      <w:pPr>
        <w:spacing w:line="360" w:lineRule="auto"/>
        <w:textAlignment w:val="baseline"/>
        <w:rPr>
          <w:rFonts w:ascii="Arial" w:hAnsi="Arial" w:cs="Arial"/>
          <w:color w:val="000000"/>
          <w:sz w:val="24"/>
          <w:lang w:val="en-GB"/>
        </w:rPr>
      </w:pPr>
      <w:r w:rsidRPr="00E962DB">
        <w:rPr>
          <w:rFonts w:ascii="Arial" w:hAnsi="Arial" w:cs="Arial"/>
          <w:color w:val="000000"/>
          <w:sz w:val="24"/>
          <w:lang w:val="en-GB"/>
        </w:rPr>
        <w:t>Please refer to regulation 6 of the CRS Regulations.</w:t>
      </w:r>
    </w:p>
    <w:p w14:paraId="7F7775B1" w14:textId="77777777" w:rsidR="00562F87" w:rsidRPr="00E962DB" w:rsidRDefault="00562F87" w:rsidP="00A057DD">
      <w:pPr>
        <w:spacing w:line="360" w:lineRule="auto"/>
        <w:textAlignment w:val="baseline"/>
        <w:rPr>
          <w:rFonts w:ascii="Arial" w:hAnsi="Arial" w:cs="Arial"/>
          <w:b/>
          <w:color w:val="4F81BC"/>
          <w:sz w:val="26"/>
          <w:lang w:val="en-GB"/>
        </w:rPr>
      </w:pPr>
    </w:p>
    <w:p w14:paraId="24EAF898" w14:textId="77777777" w:rsidR="00562F87" w:rsidRPr="00E962DB" w:rsidRDefault="00562F87" w:rsidP="008D1077">
      <w:pPr>
        <w:pStyle w:val="Heading2"/>
        <w:numPr>
          <w:ilvl w:val="0"/>
          <w:numId w:val="27"/>
        </w:numPr>
        <w:ind w:left="0" w:firstLine="0"/>
        <w:rPr>
          <w:lang w:val="en-GB"/>
        </w:rPr>
      </w:pPr>
      <w:bookmarkStart w:id="125" w:name="_Toc492290984"/>
      <w:r w:rsidRPr="00E962DB">
        <w:rPr>
          <w:lang w:val="en-GB"/>
        </w:rPr>
        <w:t>Currency Translation</w:t>
      </w:r>
      <w:bookmarkEnd w:id="125"/>
    </w:p>
    <w:p w14:paraId="654FAB45"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All amounts in CRS are stated in US dollars. The CRS Regulations permit Reporting Financial Institutions to convert the threshold limits into the currency in which accounts are denominated before applying a threshold amount under CRS. This allows a multinational Reporting Financial Institution to apply the amounts in the same currency in all jurisdictions in which they operate. For example, a Lower Value Account is an account with an aggregate account balance or value of less than $1,000,000, and this threshold amount may be converted to the relevant currency for the Reporting Financial Institution by reference to the spot rate of exchange on the date for which the Reporting Financial Institution is determining that threshold amount.</w:t>
      </w:r>
    </w:p>
    <w:p w14:paraId="3C6A5DEB"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57A1D0C5"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Please refer to regulation 3(2)(a) of the CRS Regulations, which imports paragraph C of Section VII of CRS, for further details on the currency translation and account balance aggregation rules.</w:t>
      </w:r>
    </w:p>
    <w:p w14:paraId="75D2EB95" w14:textId="77777777" w:rsidR="00562F87" w:rsidRPr="00E962DB" w:rsidRDefault="00562F87" w:rsidP="00A057DD">
      <w:pPr>
        <w:spacing w:line="360" w:lineRule="auto"/>
        <w:textAlignment w:val="baseline"/>
        <w:rPr>
          <w:rFonts w:ascii="Arial" w:hAnsi="Arial" w:cs="Arial"/>
          <w:b/>
          <w:color w:val="4F81BC"/>
          <w:sz w:val="26"/>
          <w:lang w:val="en-GB"/>
        </w:rPr>
      </w:pPr>
    </w:p>
    <w:p w14:paraId="37A4A10D" w14:textId="77777777" w:rsidR="00562F87" w:rsidRPr="00E962DB" w:rsidRDefault="00562F87" w:rsidP="008D1077">
      <w:pPr>
        <w:pStyle w:val="Heading2"/>
        <w:numPr>
          <w:ilvl w:val="0"/>
          <w:numId w:val="27"/>
        </w:numPr>
        <w:ind w:left="0" w:firstLine="0"/>
        <w:rPr>
          <w:lang w:val="en-GB"/>
        </w:rPr>
      </w:pPr>
      <w:bookmarkStart w:id="126" w:name="_Toc486250874"/>
      <w:bookmarkStart w:id="127" w:name="_Toc492290985"/>
      <w:r w:rsidRPr="00E962DB">
        <w:rPr>
          <w:lang w:val="en-GB"/>
        </w:rPr>
        <w:t>Expanded Definitions</w:t>
      </w:r>
      <w:bookmarkEnd w:id="126"/>
      <w:bookmarkEnd w:id="127"/>
    </w:p>
    <w:p w14:paraId="41C3352E" w14:textId="77777777" w:rsidR="00562F87" w:rsidRPr="00E962DB" w:rsidRDefault="00562F87" w:rsidP="00A057DD">
      <w:pPr>
        <w:spacing w:line="360" w:lineRule="auto"/>
        <w:jc w:val="both"/>
        <w:textAlignment w:val="baseline"/>
        <w:rPr>
          <w:rFonts w:ascii="Arial" w:hAnsi="Arial" w:cs="Arial"/>
          <w:color w:val="000000"/>
          <w:spacing w:val="4"/>
          <w:sz w:val="24"/>
          <w:lang w:val="en-GB"/>
        </w:rPr>
      </w:pPr>
      <w:r w:rsidRPr="00E962DB">
        <w:rPr>
          <w:rFonts w:ascii="Arial" w:hAnsi="Arial" w:cs="Arial"/>
          <w:color w:val="000000"/>
          <w:spacing w:val="4"/>
          <w:sz w:val="24"/>
          <w:lang w:val="en-GB"/>
        </w:rPr>
        <w:t xml:space="preserve">The CRS Regulations have incorporated the expanded definitions that are available </w:t>
      </w:r>
      <w:r w:rsidRPr="00E962DB">
        <w:rPr>
          <w:rFonts w:ascii="Arial" w:hAnsi="Arial" w:cs="Arial"/>
          <w:color w:val="000000"/>
          <w:sz w:val="24"/>
          <w:lang w:val="en-GB"/>
        </w:rPr>
        <w:t>under CRS. This includes expanded definitions for:</w:t>
      </w:r>
    </w:p>
    <w:p w14:paraId="78DC0E28" w14:textId="77777777" w:rsidR="00562F87" w:rsidRPr="00E962DB" w:rsidRDefault="00562F87" w:rsidP="00A057DD">
      <w:pPr>
        <w:numPr>
          <w:ilvl w:val="0"/>
          <w:numId w:val="4"/>
        </w:numPr>
        <w:tabs>
          <w:tab w:val="clear" w:pos="432"/>
          <w:tab w:val="left" w:pos="792"/>
        </w:tabs>
        <w:spacing w:line="360" w:lineRule="auto"/>
        <w:ind w:left="792" w:hanging="432"/>
        <w:jc w:val="both"/>
        <w:textAlignment w:val="baseline"/>
        <w:rPr>
          <w:rFonts w:ascii="Arial" w:hAnsi="Arial" w:cs="Arial"/>
          <w:i/>
          <w:color w:val="000000"/>
          <w:sz w:val="24"/>
          <w:lang w:val="en-GB"/>
        </w:rPr>
      </w:pPr>
      <w:r w:rsidRPr="00E962DB">
        <w:rPr>
          <w:rFonts w:ascii="Arial" w:hAnsi="Arial" w:cs="Arial"/>
          <w:i/>
          <w:color w:val="000000"/>
          <w:sz w:val="24"/>
          <w:lang w:val="en-GB"/>
        </w:rPr>
        <w:t xml:space="preserve">Preexisting Accounts </w:t>
      </w:r>
      <w:r w:rsidRPr="00E962DB">
        <w:rPr>
          <w:rFonts w:ascii="Arial" w:hAnsi="Arial" w:cs="Arial"/>
          <w:color w:val="000000"/>
          <w:sz w:val="24"/>
          <w:lang w:val="en-GB"/>
        </w:rPr>
        <w:t>(please refer to regulation 2(1) of the CRS Regulations for the full definition); and</w:t>
      </w:r>
    </w:p>
    <w:p w14:paraId="2D181CAD" w14:textId="77777777" w:rsidR="00562F87" w:rsidRPr="00E962DB" w:rsidRDefault="00562F87" w:rsidP="00A057DD">
      <w:pPr>
        <w:numPr>
          <w:ilvl w:val="0"/>
          <w:numId w:val="4"/>
        </w:numPr>
        <w:tabs>
          <w:tab w:val="clear" w:pos="432"/>
          <w:tab w:val="left" w:pos="792"/>
        </w:tabs>
        <w:spacing w:line="360" w:lineRule="auto"/>
        <w:ind w:left="792" w:hanging="432"/>
        <w:jc w:val="both"/>
        <w:textAlignment w:val="baseline"/>
        <w:rPr>
          <w:rFonts w:ascii="Arial" w:hAnsi="Arial" w:cs="Arial"/>
          <w:i/>
          <w:color w:val="000000"/>
          <w:sz w:val="24"/>
          <w:lang w:val="en-GB"/>
        </w:rPr>
      </w:pPr>
      <w:r w:rsidRPr="00E962DB">
        <w:rPr>
          <w:rFonts w:ascii="Arial" w:hAnsi="Arial" w:cs="Arial"/>
          <w:i/>
          <w:color w:val="000000"/>
          <w:sz w:val="24"/>
          <w:lang w:val="en-GB"/>
        </w:rPr>
        <w:t xml:space="preserve">Expanded Related Entities </w:t>
      </w:r>
      <w:r w:rsidRPr="00E962DB">
        <w:rPr>
          <w:rFonts w:ascii="Arial" w:hAnsi="Arial" w:cs="Arial"/>
          <w:color w:val="000000"/>
          <w:sz w:val="24"/>
          <w:lang w:val="en-GB"/>
        </w:rPr>
        <w:t>(please refer to 2(1) of the CRS Regulations for the full definition).</w:t>
      </w:r>
    </w:p>
    <w:p w14:paraId="1110F457" w14:textId="77777777" w:rsidR="00562F87" w:rsidRPr="00E962DB" w:rsidRDefault="00562F87" w:rsidP="00AA3D62">
      <w:pPr>
        <w:pStyle w:val="Heading1"/>
        <w:spacing w:line="240" w:lineRule="auto"/>
        <w:rPr>
          <w:color w:val="4F81BC"/>
          <w:spacing w:val="0"/>
          <w:sz w:val="26"/>
          <w:lang w:val="en-GB"/>
        </w:rPr>
      </w:pPr>
      <w:bookmarkStart w:id="128" w:name="_Toc486250875"/>
    </w:p>
    <w:p w14:paraId="527A58C3" w14:textId="77777777" w:rsidR="00562F87" w:rsidRPr="00E962DB" w:rsidRDefault="00562F87" w:rsidP="000418E5">
      <w:pPr>
        <w:pStyle w:val="Heading1"/>
        <w:keepNext/>
        <w:numPr>
          <w:ilvl w:val="0"/>
          <w:numId w:val="24"/>
        </w:numPr>
        <w:ind w:left="0" w:firstLine="0"/>
        <w:jc w:val="center"/>
        <w:rPr>
          <w:lang w:val="en-GB"/>
        </w:rPr>
      </w:pPr>
      <w:bookmarkStart w:id="129" w:name="_Toc492290986"/>
      <w:bookmarkEnd w:id="128"/>
      <w:r w:rsidRPr="00E962DB">
        <w:rPr>
          <w:lang w:val="en-GB"/>
        </w:rPr>
        <w:t>IDENTIFICATION OF CONTROLLING PERSONS</w:t>
      </w:r>
      <w:bookmarkEnd w:id="129"/>
    </w:p>
    <w:p w14:paraId="3AAC22A8" w14:textId="77777777" w:rsidR="00562F87" w:rsidRPr="00E962DB" w:rsidRDefault="00562F87" w:rsidP="00EF6A40">
      <w:pPr>
        <w:pStyle w:val="Heading2"/>
        <w:keepNext/>
        <w:rPr>
          <w:lang w:val="en-GB"/>
        </w:rPr>
      </w:pPr>
    </w:p>
    <w:p w14:paraId="78BA5D7F" w14:textId="77777777" w:rsidR="00562F87" w:rsidRPr="00E962DB" w:rsidRDefault="00562F87" w:rsidP="00CA5A7D">
      <w:pPr>
        <w:spacing w:line="360" w:lineRule="auto"/>
        <w:jc w:val="both"/>
        <w:textAlignment w:val="baseline"/>
        <w:rPr>
          <w:rFonts w:ascii="Arial" w:hAnsi="Arial" w:cs="Arial"/>
          <w:color w:val="000000"/>
          <w:sz w:val="24"/>
          <w:lang w:val="en-GB"/>
        </w:rPr>
      </w:pPr>
      <w:r w:rsidRPr="00E962DB">
        <w:rPr>
          <w:rFonts w:ascii="Arial" w:hAnsi="Arial" w:cs="Arial"/>
          <w:color w:val="000000"/>
          <w:spacing w:val="2"/>
          <w:sz w:val="24"/>
          <w:lang w:val="en-GB"/>
        </w:rPr>
        <w:t xml:space="preserve">A Controlling Person is defined in CRS to mean the natural persons who exercise </w:t>
      </w:r>
      <w:r w:rsidRPr="00E962DB">
        <w:rPr>
          <w:rFonts w:ascii="Arial" w:hAnsi="Arial" w:cs="Arial"/>
          <w:color w:val="000000"/>
          <w:sz w:val="24"/>
          <w:lang w:val="en-GB"/>
        </w:rPr>
        <w:t xml:space="preserve">control over an Entity ( Refer to  Section VIII; Defined Terms at paragraph D 6 of The Common Reporting Standard).  </w:t>
      </w:r>
      <w:r w:rsidRPr="00E962DB">
        <w:rPr>
          <w:rFonts w:ascii="Arial" w:hAnsi="Arial" w:cs="Arial"/>
          <w:color w:val="000000"/>
          <w:sz w:val="24"/>
          <w:szCs w:val="24"/>
          <w:lang w:val="en-GB"/>
        </w:rPr>
        <w:t>T</w:t>
      </w:r>
      <w:r w:rsidRPr="00E962DB">
        <w:rPr>
          <w:rFonts w:ascii="Arial" w:hAnsi="Arial" w:cs="Arial"/>
          <w:sz w:val="24"/>
          <w:szCs w:val="24"/>
        </w:rPr>
        <w:t>he term "Controlling Persons" corresponds to the term "beneficial owner" as described in Recommendation 10 and the Interpretative Note on Recommendation 10 of the Financial Action Task Force Recommendations.</w:t>
      </w:r>
    </w:p>
    <w:p w14:paraId="20A1C281" w14:textId="77777777" w:rsidR="00562F87" w:rsidRPr="00E962DB" w:rsidRDefault="00562F87" w:rsidP="00CA5A7D">
      <w:pPr>
        <w:spacing w:line="360" w:lineRule="auto"/>
        <w:ind w:right="-585"/>
        <w:jc w:val="both"/>
        <w:rPr>
          <w:rFonts w:ascii="Arial" w:hAnsi="Arial" w:cs="Arial"/>
          <w:szCs w:val="24"/>
        </w:rPr>
      </w:pPr>
    </w:p>
    <w:p w14:paraId="78AFA1F5" w14:textId="606271F2" w:rsidR="00562F87" w:rsidRPr="00E962DB" w:rsidRDefault="00562F87" w:rsidP="00CA5A7D">
      <w:pPr>
        <w:tabs>
          <w:tab w:val="left" w:pos="360"/>
        </w:tabs>
        <w:spacing w:line="360" w:lineRule="auto"/>
        <w:ind w:right="-585"/>
        <w:jc w:val="both"/>
        <w:rPr>
          <w:rFonts w:ascii="Arial" w:hAnsi="Arial" w:cs="Arial"/>
          <w:sz w:val="24"/>
          <w:szCs w:val="24"/>
        </w:rPr>
      </w:pPr>
      <w:r w:rsidRPr="00E962DB">
        <w:rPr>
          <w:rFonts w:ascii="Arial" w:hAnsi="Arial" w:cs="Arial"/>
          <w:sz w:val="24"/>
          <w:szCs w:val="24"/>
        </w:rPr>
        <w:t xml:space="preserve">For an Entity that is a legal person, the term "Controlling Persons" means the natural person(s) who exercises control over the Entity "Control" over an Entity is generally exercised by the natural person(s) who ultimately has a controlling ownership interest in the Entity. A "control ownership interest" depends on the ownership structure of the legal person and is usually identified on the basis of a threshold applying a risk-based approach (e.g. any person(s) owning more than a certain percentage of the legal person, such as </w:t>
      </w:r>
      <w:r w:rsidR="003C415F" w:rsidRPr="00E962DB">
        <w:rPr>
          <w:rFonts w:ascii="Arial" w:hAnsi="Arial" w:cs="Arial"/>
          <w:sz w:val="24"/>
          <w:szCs w:val="24"/>
        </w:rPr>
        <w:t>25%</w:t>
      </w:r>
      <w:r w:rsidRPr="00E962DB">
        <w:rPr>
          <w:rFonts w:ascii="Arial" w:hAnsi="Arial" w:cs="Arial"/>
          <w:sz w:val="24"/>
          <w:szCs w:val="24"/>
        </w:rPr>
        <w:t xml:space="preserve">). Where no natural person(s) exercises control through ownership interests, the Controlling Person(s) of the Entity will be the natural person(s) who exercises control of the Entity through other means (i.e. management and governance) . </w:t>
      </w:r>
    </w:p>
    <w:p w14:paraId="04E51EB5" w14:textId="77777777" w:rsidR="00562F87" w:rsidRPr="00E962DB" w:rsidRDefault="00562F87" w:rsidP="00CA5A7D">
      <w:pPr>
        <w:tabs>
          <w:tab w:val="left" w:pos="360"/>
        </w:tabs>
        <w:spacing w:line="360" w:lineRule="auto"/>
        <w:ind w:right="-585"/>
        <w:jc w:val="both"/>
        <w:rPr>
          <w:rFonts w:ascii="Arial" w:hAnsi="Arial" w:cs="Arial"/>
          <w:sz w:val="24"/>
          <w:szCs w:val="24"/>
        </w:rPr>
      </w:pPr>
    </w:p>
    <w:p w14:paraId="64D7AC0A" w14:textId="77777777" w:rsidR="00562F87" w:rsidRPr="00E962DB" w:rsidRDefault="00562F87" w:rsidP="00CA5A7D">
      <w:pPr>
        <w:tabs>
          <w:tab w:val="left" w:pos="360"/>
        </w:tabs>
        <w:spacing w:line="360" w:lineRule="auto"/>
        <w:ind w:right="-585"/>
        <w:jc w:val="both"/>
        <w:rPr>
          <w:rFonts w:ascii="Arial" w:hAnsi="Arial" w:cs="Arial"/>
          <w:sz w:val="24"/>
          <w:szCs w:val="24"/>
        </w:rPr>
      </w:pPr>
      <w:r w:rsidRPr="00E962DB">
        <w:rPr>
          <w:rFonts w:ascii="Arial" w:hAnsi="Arial" w:cs="Arial"/>
          <w:sz w:val="24"/>
          <w:szCs w:val="24"/>
        </w:rPr>
        <w:t>Where no natural person(s) is identified as exercising control of the Entity, the Controlling Person(s) of the Entity will be the natural person(s) who holds the position of senior managing official. This can include the managing director or it could be all of the directors.</w:t>
      </w:r>
    </w:p>
    <w:p w14:paraId="40EFF4DE" w14:textId="77777777" w:rsidR="00562F87" w:rsidRPr="00E962DB" w:rsidRDefault="00562F87" w:rsidP="00CA5A7D">
      <w:pPr>
        <w:spacing w:line="360" w:lineRule="auto"/>
        <w:ind w:right="-585"/>
        <w:jc w:val="both"/>
        <w:rPr>
          <w:rFonts w:ascii="Arial" w:hAnsi="Arial" w:cs="Arial"/>
          <w:szCs w:val="24"/>
        </w:rPr>
      </w:pPr>
    </w:p>
    <w:p w14:paraId="5091BE71" w14:textId="77777777" w:rsidR="00562F87" w:rsidRPr="00E962DB" w:rsidRDefault="00562F87" w:rsidP="00A537A8">
      <w:p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 xml:space="preserve">Determining a controlling interest will depend on the ownership structure of the Entity and control over the Entity may be exercised by direct ownership (or shareholding) or through indirect ownership or control (or shareholding) of one or more intermediate Entities. If no such person exists, then any natural person that otherwise exercises control over the management of the Entity (e.g., the senior managing official of the company) should be treated as the Controlling Person of the Entity. </w:t>
      </w:r>
    </w:p>
    <w:p w14:paraId="0243CE12" w14:textId="77777777" w:rsidR="00562F87" w:rsidRPr="00E962DB" w:rsidRDefault="00562F87" w:rsidP="00A537A8">
      <w:pPr>
        <w:spacing w:line="360" w:lineRule="auto"/>
        <w:jc w:val="both"/>
        <w:textAlignment w:val="baseline"/>
        <w:rPr>
          <w:rFonts w:ascii="Arial" w:hAnsi="Arial" w:cs="Arial"/>
          <w:color w:val="000000"/>
          <w:spacing w:val="2"/>
          <w:sz w:val="24"/>
          <w:lang w:val="en-GB"/>
        </w:rPr>
      </w:pPr>
    </w:p>
    <w:p w14:paraId="7E4533EB" w14:textId="77777777" w:rsidR="00562F87" w:rsidRPr="00E962DB" w:rsidRDefault="00562F87" w:rsidP="00567165">
      <w:p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Indirect control may extend beyond legal (direct) ownership or could be through a chain of corporate vehicles and through nominees (i.e. shareholder or nominee agreements). This indirect control could be identified through various means, as shareholder's agreement, exercise of dominant influence or power to appoint senior management. Shareholders may thus collaborate to increase the level of control by a person through formal or informal agreements, or through the use of nominee shareholders. Voting or economic rights, whether the company has issued convertible stock or has any outstanding debt that is convertible into voting equity will also have to be considered and based on the facts a determination made as to whether there is indirect ownership and/or control.</w:t>
      </w:r>
    </w:p>
    <w:p w14:paraId="3FE5C518" w14:textId="77777777" w:rsidR="00562F87" w:rsidRPr="00E962DB" w:rsidRDefault="00562F87" w:rsidP="00CF028B">
      <w:pPr>
        <w:spacing w:line="360" w:lineRule="auto"/>
        <w:textAlignment w:val="baseline"/>
        <w:rPr>
          <w:rFonts w:ascii="Arial" w:hAnsi="Arial" w:cs="Arial"/>
          <w:b/>
          <w:color w:val="000000"/>
          <w:spacing w:val="2"/>
          <w:sz w:val="24"/>
          <w:lang w:val="en-GB"/>
        </w:rPr>
      </w:pPr>
    </w:p>
    <w:p w14:paraId="6CC70AE6" w14:textId="77777777" w:rsidR="00562F87" w:rsidRPr="00E962DB" w:rsidRDefault="00562F87" w:rsidP="00CF028B">
      <w:pPr>
        <w:spacing w:line="360" w:lineRule="auto"/>
        <w:textAlignment w:val="baseline"/>
        <w:rPr>
          <w:rFonts w:ascii="Arial" w:hAnsi="Arial" w:cs="Arial"/>
          <w:b/>
          <w:color w:val="000000"/>
          <w:spacing w:val="2"/>
          <w:sz w:val="24"/>
          <w:lang w:val="en-GB"/>
        </w:rPr>
      </w:pPr>
    </w:p>
    <w:p w14:paraId="2AFA09F3" w14:textId="77777777" w:rsidR="00562F87" w:rsidRPr="00E962DB" w:rsidRDefault="00562F87" w:rsidP="008D1077">
      <w:pPr>
        <w:pStyle w:val="Heading2"/>
        <w:numPr>
          <w:ilvl w:val="0"/>
          <w:numId w:val="28"/>
        </w:numPr>
        <w:rPr>
          <w:lang w:val="en-GB"/>
        </w:rPr>
      </w:pPr>
      <w:bookmarkStart w:id="130" w:name="_Toc492290987"/>
      <w:r w:rsidRPr="00E962DB">
        <w:rPr>
          <w:lang w:val="en-GB"/>
        </w:rPr>
        <w:t>Entities</w:t>
      </w:r>
      <w:bookmarkEnd w:id="130"/>
    </w:p>
    <w:p w14:paraId="555C746F" w14:textId="74738CD4" w:rsidR="00562F87" w:rsidRPr="00E962DB" w:rsidRDefault="00562F87" w:rsidP="00A537A8">
      <w:p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 xml:space="preserve">The CRS Regulations provide that the definition of Controlling Persons includes such other definition or procedure contained in applicable AML and KYC procedures, as amended. Bahamian AML and KYC procedures currently apply a </w:t>
      </w:r>
      <w:r w:rsidR="003C415F" w:rsidRPr="00E962DB">
        <w:rPr>
          <w:rFonts w:ascii="Arial" w:hAnsi="Arial" w:cs="Arial"/>
          <w:color w:val="000000"/>
          <w:spacing w:val="2"/>
          <w:sz w:val="24"/>
          <w:lang w:val="en-GB"/>
        </w:rPr>
        <w:t>25</w:t>
      </w:r>
      <w:r w:rsidRPr="00E962DB">
        <w:rPr>
          <w:rFonts w:ascii="Arial" w:hAnsi="Arial" w:cs="Arial"/>
          <w:color w:val="000000"/>
          <w:spacing w:val="2"/>
          <w:sz w:val="24"/>
          <w:lang w:val="en-GB"/>
        </w:rPr>
        <w:t xml:space="preserve"> percent (</w:t>
      </w:r>
      <w:r w:rsidR="003C415F" w:rsidRPr="00E962DB">
        <w:rPr>
          <w:rFonts w:ascii="Arial" w:hAnsi="Arial" w:cs="Arial"/>
          <w:color w:val="000000"/>
          <w:spacing w:val="2"/>
          <w:sz w:val="24"/>
          <w:lang w:val="en-GB"/>
        </w:rPr>
        <w:t>25</w:t>
      </w:r>
      <w:r w:rsidRPr="00E962DB">
        <w:rPr>
          <w:rFonts w:ascii="Arial" w:hAnsi="Arial" w:cs="Arial"/>
          <w:color w:val="000000"/>
          <w:spacing w:val="2"/>
          <w:sz w:val="24"/>
          <w:lang w:val="en-GB"/>
        </w:rPr>
        <w:t xml:space="preserve">%) threshold for determining Controlling Persons for applying FATF Recommendations. </w:t>
      </w:r>
    </w:p>
    <w:p w14:paraId="56EBB943" w14:textId="77777777" w:rsidR="00562F87" w:rsidRPr="00E962DB" w:rsidRDefault="00562F87" w:rsidP="00A537A8">
      <w:pPr>
        <w:spacing w:line="360" w:lineRule="auto"/>
        <w:jc w:val="both"/>
        <w:textAlignment w:val="baseline"/>
        <w:rPr>
          <w:rFonts w:ascii="Arial" w:hAnsi="Arial" w:cs="Arial"/>
          <w:color w:val="000000"/>
          <w:spacing w:val="2"/>
          <w:sz w:val="24"/>
          <w:lang w:val="en-GB"/>
        </w:rPr>
      </w:pPr>
    </w:p>
    <w:p w14:paraId="2C2F319B" w14:textId="77777777" w:rsidR="00562F87" w:rsidRPr="00E962DB" w:rsidRDefault="00562F87" w:rsidP="00A537A8">
      <w:p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For CRS, Controlling Persons shall include:</w:t>
      </w:r>
    </w:p>
    <w:p w14:paraId="298EE139" w14:textId="4EB33485" w:rsidR="00562F87" w:rsidRPr="00E962DB" w:rsidRDefault="00562F87" w:rsidP="000921EF">
      <w:pPr>
        <w:pStyle w:val="ListParagraph"/>
        <w:numPr>
          <w:ilvl w:val="0"/>
          <w:numId w:val="36"/>
        </w:num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 xml:space="preserve">Any natural person that holds directly or indirectly more than </w:t>
      </w:r>
      <w:r w:rsidR="00207F68" w:rsidRPr="00E962DB">
        <w:rPr>
          <w:rFonts w:ascii="Arial" w:hAnsi="Arial" w:cs="Arial"/>
          <w:color w:val="000000"/>
          <w:spacing w:val="2"/>
          <w:sz w:val="24"/>
          <w:lang w:val="en-GB"/>
        </w:rPr>
        <w:t xml:space="preserve">twenty-five </w:t>
      </w:r>
      <w:r w:rsidRPr="00E962DB">
        <w:rPr>
          <w:rFonts w:ascii="Arial" w:hAnsi="Arial" w:cs="Arial"/>
          <w:color w:val="000000"/>
          <w:spacing w:val="2"/>
          <w:sz w:val="24"/>
          <w:lang w:val="en-GB"/>
        </w:rPr>
        <w:t xml:space="preserve"> percent (</w:t>
      </w:r>
      <w:r w:rsidR="003C415F" w:rsidRPr="00E962DB">
        <w:rPr>
          <w:rFonts w:ascii="Arial" w:hAnsi="Arial" w:cs="Arial"/>
          <w:color w:val="000000"/>
          <w:spacing w:val="2"/>
          <w:sz w:val="24"/>
          <w:lang w:val="en-GB"/>
        </w:rPr>
        <w:t>25</w:t>
      </w:r>
      <w:r w:rsidRPr="00E962DB">
        <w:rPr>
          <w:rFonts w:ascii="Arial" w:hAnsi="Arial" w:cs="Arial"/>
          <w:color w:val="000000"/>
          <w:spacing w:val="2"/>
          <w:sz w:val="24"/>
          <w:lang w:val="en-GB"/>
        </w:rPr>
        <w:t xml:space="preserve">%) of the shares or voting rights of an Entity as a beneficial owner. </w:t>
      </w:r>
    </w:p>
    <w:p w14:paraId="69632058" w14:textId="4BF2A8B5" w:rsidR="00562F87" w:rsidRPr="00E962DB" w:rsidRDefault="00562F87" w:rsidP="000921EF">
      <w:pPr>
        <w:pStyle w:val="ListParagraph"/>
        <w:numPr>
          <w:ilvl w:val="0"/>
          <w:numId w:val="36"/>
        </w:num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 xml:space="preserve">Any natural person that owns or controls </w:t>
      </w:r>
      <w:r w:rsidR="003C415F" w:rsidRPr="00E962DB">
        <w:rPr>
          <w:rFonts w:ascii="Arial" w:hAnsi="Arial" w:cs="Arial"/>
          <w:color w:val="000000"/>
          <w:spacing w:val="2"/>
          <w:sz w:val="24"/>
          <w:lang w:val="en-GB"/>
        </w:rPr>
        <w:t>25%</w:t>
      </w:r>
      <w:r w:rsidRPr="00E962DB">
        <w:rPr>
          <w:rFonts w:ascii="Arial" w:hAnsi="Arial" w:cs="Arial"/>
          <w:color w:val="000000"/>
          <w:spacing w:val="2"/>
          <w:sz w:val="24"/>
          <w:lang w:val="en-GB"/>
        </w:rPr>
        <w:t xml:space="preserve"> or more of any class of the person's voting securities, excluding any securities that the security holder, if a registrant, holds in the course of a public distribution; or</w:t>
      </w:r>
    </w:p>
    <w:p w14:paraId="1ADCCB9A" w14:textId="77777777" w:rsidR="00562F87" w:rsidRPr="00E962DB" w:rsidRDefault="00562F87" w:rsidP="000921EF">
      <w:pPr>
        <w:pStyle w:val="ListParagraph"/>
        <w:numPr>
          <w:ilvl w:val="0"/>
          <w:numId w:val="36"/>
        </w:num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Any natural person who is able to affect materially the control of the person, whether alone or by acting in concert with another person.”</w:t>
      </w:r>
    </w:p>
    <w:p w14:paraId="237BA18C" w14:textId="77777777" w:rsidR="00562F87" w:rsidRPr="00E962DB" w:rsidRDefault="00562F87" w:rsidP="00A537A8">
      <w:pPr>
        <w:spacing w:line="360" w:lineRule="auto"/>
        <w:jc w:val="both"/>
        <w:textAlignment w:val="baseline"/>
        <w:rPr>
          <w:rFonts w:ascii="Arial" w:hAnsi="Arial" w:cs="Arial"/>
          <w:color w:val="000000"/>
          <w:spacing w:val="2"/>
          <w:sz w:val="24"/>
          <w:lang w:val="en-GB"/>
        </w:rPr>
      </w:pPr>
    </w:p>
    <w:p w14:paraId="58F14017" w14:textId="77777777" w:rsidR="00562F87" w:rsidRPr="00E962DB" w:rsidRDefault="00562F87" w:rsidP="00372328">
      <w:pPr>
        <w:spacing w:line="360" w:lineRule="auto"/>
        <w:jc w:val="both"/>
        <w:textAlignment w:val="baseline"/>
        <w:rPr>
          <w:rFonts w:ascii="Arial" w:hAnsi="Arial" w:cs="Arial"/>
          <w:color w:val="000000"/>
          <w:sz w:val="24"/>
        </w:rPr>
      </w:pPr>
      <w:r w:rsidRPr="00E962DB">
        <w:rPr>
          <w:rFonts w:ascii="Arial" w:hAnsi="Arial" w:cs="Arial"/>
          <w:color w:val="000000"/>
          <w:sz w:val="24"/>
        </w:rPr>
        <w:t>Example</w:t>
      </w:r>
    </w:p>
    <w:p w14:paraId="3A349017" w14:textId="0C42B058" w:rsidR="00562F87" w:rsidRPr="00E962DB" w:rsidRDefault="00562F87" w:rsidP="007C61B7">
      <w:p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 xml:space="preserve">An Individual ( Individual A) owns </w:t>
      </w:r>
      <w:r w:rsidR="00207F68" w:rsidRPr="00E962DB">
        <w:rPr>
          <w:rFonts w:ascii="Arial" w:hAnsi="Arial" w:cs="Arial"/>
          <w:color w:val="000000"/>
          <w:spacing w:val="2"/>
          <w:sz w:val="24"/>
          <w:lang w:val="en-GB"/>
        </w:rPr>
        <w:t xml:space="preserve">ten </w:t>
      </w:r>
      <w:r w:rsidRPr="00E962DB">
        <w:rPr>
          <w:rFonts w:ascii="Arial" w:hAnsi="Arial" w:cs="Arial"/>
          <w:color w:val="000000"/>
          <w:spacing w:val="2"/>
          <w:sz w:val="24"/>
          <w:lang w:val="en-GB"/>
        </w:rPr>
        <w:t xml:space="preserve"> percent (</w:t>
      </w:r>
      <w:r w:rsidR="00207F68" w:rsidRPr="00E962DB">
        <w:rPr>
          <w:rFonts w:ascii="Arial" w:hAnsi="Arial" w:cs="Arial"/>
          <w:color w:val="000000"/>
          <w:spacing w:val="2"/>
          <w:sz w:val="24"/>
          <w:lang w:val="en-GB"/>
        </w:rPr>
        <w:t>10</w:t>
      </w:r>
      <w:r w:rsidRPr="00E962DB">
        <w:rPr>
          <w:rFonts w:ascii="Arial" w:hAnsi="Arial" w:cs="Arial"/>
          <w:color w:val="000000"/>
          <w:spacing w:val="2"/>
          <w:sz w:val="24"/>
          <w:lang w:val="en-GB"/>
        </w:rPr>
        <w:t xml:space="preserve">%) beneficial interest in Entity “B” which is held in the name of Individual C.  Individual A also controls </w:t>
      </w:r>
      <w:r w:rsidR="00207F68" w:rsidRPr="00E962DB">
        <w:rPr>
          <w:rFonts w:ascii="Arial" w:hAnsi="Arial" w:cs="Arial"/>
          <w:color w:val="000000"/>
          <w:spacing w:val="2"/>
          <w:sz w:val="24"/>
          <w:lang w:val="en-GB"/>
        </w:rPr>
        <w:t xml:space="preserve"> twenty </w:t>
      </w:r>
      <w:r w:rsidRPr="00E962DB">
        <w:rPr>
          <w:rFonts w:ascii="Arial" w:hAnsi="Arial" w:cs="Arial"/>
          <w:color w:val="000000"/>
          <w:spacing w:val="2"/>
          <w:sz w:val="24"/>
          <w:lang w:val="en-GB"/>
        </w:rPr>
        <w:t xml:space="preserve"> percent (</w:t>
      </w:r>
      <w:r w:rsidR="00207F68" w:rsidRPr="00E962DB">
        <w:rPr>
          <w:rFonts w:ascii="Arial" w:hAnsi="Arial" w:cs="Arial"/>
          <w:color w:val="000000"/>
          <w:spacing w:val="2"/>
          <w:sz w:val="24"/>
          <w:lang w:val="en-GB"/>
        </w:rPr>
        <w:t>20</w:t>
      </w:r>
      <w:r w:rsidRPr="00E962DB">
        <w:rPr>
          <w:rFonts w:ascii="Arial" w:hAnsi="Arial" w:cs="Arial"/>
          <w:color w:val="000000"/>
          <w:spacing w:val="2"/>
          <w:sz w:val="24"/>
          <w:lang w:val="en-GB"/>
        </w:rPr>
        <w:t xml:space="preserve">%) of the voting shares in Entity B. Although the </w:t>
      </w:r>
      <w:r w:rsidR="00207F68" w:rsidRPr="00E962DB">
        <w:rPr>
          <w:rFonts w:ascii="Arial" w:hAnsi="Arial" w:cs="Arial"/>
          <w:color w:val="000000"/>
          <w:spacing w:val="2"/>
          <w:sz w:val="24"/>
          <w:lang w:val="en-GB"/>
        </w:rPr>
        <w:t>10</w:t>
      </w:r>
      <w:r w:rsidRPr="00E962DB">
        <w:rPr>
          <w:rFonts w:ascii="Arial" w:hAnsi="Arial" w:cs="Arial"/>
          <w:color w:val="000000"/>
          <w:spacing w:val="2"/>
          <w:sz w:val="24"/>
          <w:lang w:val="en-GB"/>
        </w:rPr>
        <w:t>% is held in the name of Individual C, pursuant to a contractual agreement, in such instance, Individual A falls within the definition of Controlling Person.</w:t>
      </w:r>
    </w:p>
    <w:p w14:paraId="0D88A51D" w14:textId="77777777" w:rsidR="00562F87" w:rsidRPr="00E962DB" w:rsidRDefault="00562F87" w:rsidP="00CF028B">
      <w:pPr>
        <w:spacing w:line="360" w:lineRule="auto"/>
        <w:textAlignment w:val="baseline"/>
        <w:rPr>
          <w:rFonts w:ascii="Arial" w:hAnsi="Arial" w:cs="Arial"/>
          <w:color w:val="000000"/>
          <w:spacing w:val="2"/>
          <w:sz w:val="24"/>
          <w:lang w:val="en-GB"/>
        </w:rPr>
      </w:pPr>
    </w:p>
    <w:p w14:paraId="4E330C72" w14:textId="77777777" w:rsidR="00562F87" w:rsidRPr="00E962DB" w:rsidRDefault="00562F87" w:rsidP="00065CD7">
      <w:pPr>
        <w:pStyle w:val="Heading2"/>
        <w:keepNext/>
        <w:numPr>
          <w:ilvl w:val="0"/>
          <w:numId w:val="28"/>
        </w:numPr>
        <w:rPr>
          <w:lang w:val="en-GB"/>
        </w:rPr>
      </w:pPr>
      <w:bookmarkStart w:id="131" w:name="_Toc492290988"/>
      <w:r w:rsidRPr="00E962DB">
        <w:rPr>
          <w:lang w:val="en-GB"/>
        </w:rPr>
        <w:t>Trusts</w:t>
      </w:r>
      <w:bookmarkEnd w:id="131"/>
    </w:p>
    <w:p w14:paraId="17715320" w14:textId="77777777" w:rsidR="00562F87" w:rsidRPr="00E962DB" w:rsidRDefault="00562F87" w:rsidP="00A057DD">
      <w:pPr>
        <w:spacing w:line="360" w:lineRule="auto"/>
        <w:textAlignment w:val="baseline"/>
        <w:rPr>
          <w:rFonts w:ascii="Arial" w:hAnsi="Arial" w:cs="Arial"/>
          <w:color w:val="000000"/>
          <w:spacing w:val="2"/>
          <w:sz w:val="24"/>
          <w:lang w:val="en-GB"/>
        </w:rPr>
      </w:pPr>
      <w:r w:rsidRPr="00E962DB">
        <w:rPr>
          <w:rFonts w:ascii="Arial" w:hAnsi="Arial" w:cs="Arial"/>
          <w:color w:val="000000"/>
          <w:sz w:val="24"/>
          <w:lang w:val="en-GB"/>
        </w:rPr>
        <w:t>In the case of a trust, Controlling Person(s) means –</w:t>
      </w:r>
    </w:p>
    <w:p w14:paraId="718EA0B4" w14:textId="77777777" w:rsidR="00562F87" w:rsidRPr="00E962DB" w:rsidRDefault="00562F87" w:rsidP="00A057DD">
      <w:pPr>
        <w:numPr>
          <w:ilvl w:val="0"/>
          <w:numId w:val="4"/>
        </w:numPr>
        <w:tabs>
          <w:tab w:val="clear" w:pos="432"/>
          <w:tab w:val="left" w:pos="792"/>
        </w:tabs>
        <w:spacing w:line="360" w:lineRule="auto"/>
        <w:ind w:left="792" w:hanging="432"/>
        <w:textAlignment w:val="baseline"/>
        <w:rPr>
          <w:rFonts w:ascii="Arial" w:hAnsi="Arial" w:cs="Arial"/>
          <w:color w:val="000000"/>
          <w:spacing w:val="-3"/>
          <w:sz w:val="24"/>
          <w:lang w:val="en-GB"/>
        </w:rPr>
      </w:pPr>
      <w:r w:rsidRPr="00E962DB">
        <w:rPr>
          <w:rFonts w:ascii="Arial" w:hAnsi="Arial" w:cs="Arial"/>
          <w:color w:val="000000"/>
          <w:spacing w:val="-3"/>
          <w:sz w:val="24"/>
          <w:lang w:val="en-GB"/>
        </w:rPr>
        <w:t>the settlor(s);</w:t>
      </w:r>
    </w:p>
    <w:p w14:paraId="07B80E6F" w14:textId="77777777" w:rsidR="00562F87" w:rsidRPr="00E962DB" w:rsidRDefault="00562F87" w:rsidP="00A057DD">
      <w:pPr>
        <w:numPr>
          <w:ilvl w:val="0"/>
          <w:numId w:val="4"/>
        </w:numPr>
        <w:tabs>
          <w:tab w:val="clear" w:pos="432"/>
          <w:tab w:val="left" w:pos="792"/>
        </w:tabs>
        <w:spacing w:line="360" w:lineRule="auto"/>
        <w:ind w:left="792" w:hanging="432"/>
        <w:textAlignment w:val="baseline"/>
        <w:rPr>
          <w:rFonts w:ascii="Arial" w:hAnsi="Arial" w:cs="Arial"/>
          <w:color w:val="000000"/>
          <w:spacing w:val="-3"/>
          <w:sz w:val="24"/>
          <w:lang w:val="en-GB"/>
        </w:rPr>
      </w:pPr>
      <w:r w:rsidRPr="00E962DB">
        <w:rPr>
          <w:rFonts w:ascii="Arial" w:hAnsi="Arial" w:cs="Arial"/>
          <w:color w:val="000000"/>
          <w:spacing w:val="-3"/>
          <w:sz w:val="24"/>
          <w:lang w:val="en-GB"/>
        </w:rPr>
        <w:t>the trustee(s);</w:t>
      </w:r>
    </w:p>
    <w:p w14:paraId="3B0E6150" w14:textId="77777777" w:rsidR="00562F87" w:rsidRPr="00E962DB" w:rsidRDefault="00562F87" w:rsidP="00A057DD">
      <w:pPr>
        <w:numPr>
          <w:ilvl w:val="0"/>
          <w:numId w:val="4"/>
        </w:numPr>
        <w:tabs>
          <w:tab w:val="clear" w:pos="432"/>
          <w:tab w:val="left" w:pos="792"/>
        </w:tabs>
        <w:spacing w:line="360" w:lineRule="auto"/>
        <w:ind w:left="792" w:hanging="432"/>
        <w:textAlignment w:val="baseline"/>
        <w:rPr>
          <w:rFonts w:ascii="Arial" w:hAnsi="Arial" w:cs="Arial"/>
          <w:color w:val="000000"/>
          <w:spacing w:val="-1"/>
          <w:sz w:val="24"/>
          <w:lang w:val="en-GB"/>
        </w:rPr>
      </w:pPr>
      <w:r w:rsidRPr="00E962DB">
        <w:rPr>
          <w:rFonts w:ascii="Arial" w:hAnsi="Arial" w:cs="Arial"/>
          <w:color w:val="000000"/>
          <w:spacing w:val="-1"/>
          <w:sz w:val="24"/>
          <w:lang w:val="en-GB"/>
        </w:rPr>
        <w:t>the protector(s) (if any);</w:t>
      </w:r>
    </w:p>
    <w:p w14:paraId="31B7FB40" w14:textId="77777777" w:rsidR="00562F87" w:rsidRPr="00E962DB" w:rsidRDefault="00562F87" w:rsidP="00A057DD">
      <w:pPr>
        <w:numPr>
          <w:ilvl w:val="0"/>
          <w:numId w:val="4"/>
        </w:numPr>
        <w:tabs>
          <w:tab w:val="clear" w:pos="432"/>
          <w:tab w:val="left" w:pos="792"/>
        </w:tabs>
        <w:spacing w:line="360" w:lineRule="auto"/>
        <w:ind w:left="792" w:hanging="432"/>
        <w:jc w:val="both"/>
        <w:textAlignment w:val="baseline"/>
        <w:rPr>
          <w:rFonts w:ascii="Arial" w:hAnsi="Arial" w:cs="Arial"/>
          <w:color w:val="000000"/>
          <w:sz w:val="24"/>
          <w:lang w:val="en-GB"/>
        </w:rPr>
      </w:pPr>
      <w:r w:rsidRPr="00E962DB">
        <w:rPr>
          <w:rFonts w:ascii="Arial" w:hAnsi="Arial" w:cs="Arial"/>
          <w:color w:val="000000"/>
          <w:sz w:val="24"/>
          <w:lang w:val="en-GB"/>
        </w:rPr>
        <w:t>the beneficiary(ies) or classes of beneficiary(ies) if such person(s) has the right to receive directly or indirectly (for example, through a nominee) a mandatory distribution or has received, directly or indirectly, in the relevant reporting period, a discretionary distribution from the trust; and</w:t>
      </w:r>
    </w:p>
    <w:p w14:paraId="7A2EA123" w14:textId="77777777" w:rsidR="00562F87" w:rsidRPr="00E962DB" w:rsidRDefault="00562F87" w:rsidP="00A057DD">
      <w:pPr>
        <w:numPr>
          <w:ilvl w:val="0"/>
          <w:numId w:val="4"/>
        </w:numPr>
        <w:tabs>
          <w:tab w:val="clear" w:pos="432"/>
          <w:tab w:val="left" w:pos="792"/>
        </w:tabs>
        <w:spacing w:line="360" w:lineRule="auto"/>
        <w:ind w:left="792" w:hanging="432"/>
        <w:jc w:val="both"/>
        <w:textAlignment w:val="baseline"/>
        <w:rPr>
          <w:rFonts w:ascii="Arial" w:hAnsi="Arial" w:cs="Arial"/>
          <w:color w:val="000000"/>
          <w:sz w:val="24"/>
          <w:lang w:val="en-GB"/>
        </w:rPr>
      </w:pPr>
      <w:r w:rsidRPr="00E962DB">
        <w:rPr>
          <w:rFonts w:ascii="Arial" w:hAnsi="Arial" w:cs="Arial"/>
          <w:color w:val="000000"/>
          <w:sz w:val="24"/>
          <w:lang w:val="en-GB"/>
        </w:rPr>
        <w:t>any other natural person(s) exercising ultimate effective control over the trust.</w:t>
      </w:r>
      <w:r w:rsidRPr="00E962DB">
        <w:rPr>
          <w:rFonts w:ascii="Arial" w:hAnsi="Arial" w:cs="Arial"/>
          <w:i/>
          <w:color w:val="000000"/>
          <w:sz w:val="20"/>
          <w:lang w:val="en-GB"/>
        </w:rPr>
        <w:t xml:space="preserve"> </w:t>
      </w:r>
    </w:p>
    <w:p w14:paraId="69E8A237" w14:textId="77777777" w:rsidR="00562F87" w:rsidRPr="00E962DB" w:rsidRDefault="00562F87" w:rsidP="000A73DD">
      <w:pPr>
        <w:tabs>
          <w:tab w:val="left" w:pos="792"/>
        </w:tabs>
        <w:spacing w:line="360" w:lineRule="auto"/>
        <w:jc w:val="both"/>
        <w:textAlignment w:val="baseline"/>
        <w:rPr>
          <w:rFonts w:ascii="Arial" w:hAnsi="Arial" w:cs="Arial"/>
          <w:b/>
          <w:color w:val="000000"/>
          <w:sz w:val="24"/>
          <w:lang w:val="en-GB"/>
        </w:rPr>
      </w:pPr>
    </w:p>
    <w:p w14:paraId="1CA40467" w14:textId="77777777" w:rsidR="00562F87" w:rsidRPr="00E962DB" w:rsidRDefault="00562F87" w:rsidP="000A73DD">
      <w:pPr>
        <w:tabs>
          <w:tab w:val="left" w:pos="792"/>
        </w:tabs>
        <w:spacing w:line="360" w:lineRule="auto"/>
        <w:jc w:val="both"/>
        <w:textAlignment w:val="baseline"/>
        <w:rPr>
          <w:rFonts w:ascii="Arial" w:hAnsi="Arial" w:cs="Arial"/>
          <w:b/>
          <w:color w:val="000000"/>
          <w:sz w:val="24"/>
          <w:lang w:val="en-GB"/>
        </w:rPr>
      </w:pPr>
      <w:r w:rsidRPr="00E962DB">
        <w:rPr>
          <w:rFonts w:ascii="Arial" w:hAnsi="Arial" w:cs="Arial"/>
          <w:b/>
          <w:color w:val="000000"/>
          <w:sz w:val="24"/>
          <w:lang w:val="en-GB"/>
        </w:rPr>
        <w:t>Trusts as Financial Institutions</w:t>
      </w:r>
    </w:p>
    <w:p w14:paraId="5B49B6E3" w14:textId="77777777" w:rsidR="00562F87" w:rsidRPr="00E962DB" w:rsidRDefault="00562F87" w:rsidP="000A73DD">
      <w:pPr>
        <w:numPr>
          <w:ilvl w:val="0"/>
          <w:numId w:val="38"/>
        </w:numPr>
        <w:spacing w:line="360" w:lineRule="auto"/>
        <w:jc w:val="both"/>
        <w:rPr>
          <w:rFonts w:ascii="Arial" w:hAnsi="Arial" w:cs="Arial"/>
          <w:sz w:val="24"/>
          <w:szCs w:val="24"/>
        </w:rPr>
      </w:pPr>
      <w:r w:rsidRPr="00E962DB">
        <w:rPr>
          <w:rFonts w:ascii="Arial" w:hAnsi="Arial" w:cs="Arial"/>
          <w:sz w:val="24"/>
          <w:szCs w:val="24"/>
        </w:rPr>
        <w:t xml:space="preserve">An individual account would be a “financial account” held in the name of a natural person. There are different types of financial accounts (i.e. custodial, deposit, </w:t>
      </w:r>
      <w:r w:rsidRPr="00E962DB">
        <w:rPr>
          <w:rFonts w:ascii="Arial" w:hAnsi="Arial" w:cs="Arial"/>
          <w:b/>
          <w:bCs/>
          <w:i/>
          <w:iCs/>
          <w:sz w:val="24"/>
          <w:szCs w:val="24"/>
        </w:rPr>
        <w:t>equity and debt interest</w:t>
      </w:r>
      <w:r w:rsidRPr="00E962DB">
        <w:rPr>
          <w:rFonts w:ascii="Arial" w:hAnsi="Arial" w:cs="Arial"/>
          <w:sz w:val="24"/>
          <w:szCs w:val="24"/>
        </w:rPr>
        <w:t>, cash value insurance and annuity accounts).   It is the equity and debt interest held in an investment entity that is a financial account;</w:t>
      </w:r>
    </w:p>
    <w:p w14:paraId="35FA09A4" w14:textId="77777777" w:rsidR="00562F87" w:rsidRPr="00E962DB" w:rsidRDefault="00562F87" w:rsidP="000A73DD">
      <w:pPr>
        <w:spacing w:line="360" w:lineRule="auto"/>
        <w:jc w:val="both"/>
        <w:rPr>
          <w:rFonts w:ascii="Arial" w:hAnsi="Arial" w:cs="Arial"/>
          <w:sz w:val="24"/>
          <w:szCs w:val="24"/>
        </w:rPr>
      </w:pPr>
    </w:p>
    <w:p w14:paraId="5450B6FD" w14:textId="77777777" w:rsidR="00562F87" w:rsidRPr="00E962DB" w:rsidRDefault="00562F87" w:rsidP="002D4BBB">
      <w:pPr>
        <w:pStyle w:val="Default"/>
        <w:spacing w:line="360" w:lineRule="auto"/>
        <w:ind w:left="720"/>
        <w:jc w:val="both"/>
        <w:rPr>
          <w:rFonts w:ascii="Arial" w:hAnsi="Arial" w:cs="Arial"/>
        </w:rPr>
      </w:pPr>
    </w:p>
    <w:p w14:paraId="3788DCA8" w14:textId="77777777" w:rsidR="00562F87" w:rsidRPr="00E962DB" w:rsidRDefault="00562F87" w:rsidP="000C7694">
      <w:pPr>
        <w:pStyle w:val="Default"/>
        <w:spacing w:line="360" w:lineRule="auto"/>
        <w:ind w:left="720" w:hanging="360"/>
        <w:jc w:val="both"/>
        <w:rPr>
          <w:rFonts w:ascii="Arial" w:hAnsi="Arial" w:cs="Arial"/>
        </w:rPr>
      </w:pPr>
      <w:r w:rsidRPr="00E962DB">
        <w:rPr>
          <w:rFonts w:ascii="Arial" w:hAnsi="Arial" w:cs="Arial"/>
          <w:lang w:val="en-US"/>
        </w:rPr>
        <w:t>2.</w:t>
      </w:r>
      <w:r w:rsidRPr="00E962DB">
        <w:rPr>
          <w:rFonts w:ascii="Arial" w:hAnsi="Arial" w:cs="Arial"/>
          <w:lang w:val="en-US"/>
        </w:rPr>
        <w:tab/>
      </w:r>
      <w:r w:rsidRPr="00E962DB">
        <w:rPr>
          <w:rFonts w:ascii="Arial" w:hAnsi="Arial" w:cs="Arial"/>
        </w:rPr>
        <w:t>A trust will be a financial institution if it falls within the definition of an investment entity (i.e. has gross income primarily attributable to investing, reinvesting or trading financial assets and is managed by a financial</w:t>
      </w:r>
      <w:r w:rsidRPr="00E962DB">
        <w:rPr>
          <w:rFonts w:ascii="Arial" w:hAnsi="Arial" w:cs="Arial"/>
          <w:u w:val="single"/>
        </w:rPr>
        <w:t xml:space="preserve"> </w:t>
      </w:r>
      <w:r w:rsidRPr="00E962DB">
        <w:rPr>
          <w:rFonts w:ascii="Arial" w:hAnsi="Arial" w:cs="Arial"/>
        </w:rPr>
        <w:t>institution).  This would mean that the individuals with an equity or debt interest in such a trust would be Individual account holders subject to reporting.</w:t>
      </w:r>
    </w:p>
    <w:p w14:paraId="1885DD38" w14:textId="77777777" w:rsidR="00562F87" w:rsidRPr="00E962DB" w:rsidRDefault="00562F87" w:rsidP="000A73DD">
      <w:pPr>
        <w:autoSpaceDE w:val="0"/>
        <w:autoSpaceDN w:val="0"/>
        <w:adjustRightInd w:val="0"/>
        <w:spacing w:line="360" w:lineRule="auto"/>
        <w:jc w:val="both"/>
        <w:rPr>
          <w:rFonts w:ascii="Arial" w:hAnsi="Arial" w:cs="Arial"/>
          <w:color w:val="000000"/>
          <w:sz w:val="24"/>
          <w:szCs w:val="24"/>
          <w:lang w:val="en-GB"/>
        </w:rPr>
      </w:pPr>
    </w:p>
    <w:p w14:paraId="62846C0F" w14:textId="77777777" w:rsidR="00562F87" w:rsidRPr="00E962DB" w:rsidRDefault="00562F87" w:rsidP="000A73DD">
      <w:pPr>
        <w:autoSpaceDE w:val="0"/>
        <w:autoSpaceDN w:val="0"/>
        <w:adjustRightInd w:val="0"/>
        <w:spacing w:line="360" w:lineRule="auto"/>
        <w:jc w:val="both"/>
        <w:rPr>
          <w:rFonts w:ascii="Arial" w:hAnsi="Arial" w:cs="Arial"/>
          <w:color w:val="000000"/>
          <w:sz w:val="24"/>
          <w:szCs w:val="24"/>
          <w:lang w:val="en-GB"/>
        </w:rPr>
      </w:pPr>
      <w:r w:rsidRPr="00E962DB">
        <w:rPr>
          <w:rFonts w:ascii="Arial" w:hAnsi="Arial" w:cs="Arial"/>
          <w:color w:val="000000"/>
          <w:sz w:val="24"/>
          <w:szCs w:val="24"/>
          <w:lang w:val="en-GB"/>
        </w:rPr>
        <w:t>Discretionary beneficiaries will only be accountholders in the years when they receive a distribution from the trust, and the trustees will report the value of distributions made to reportable persons. A settlor or fixed beneficiary will always be an account holder, and the trustee reports their account balance, as well as gross payments paid or credited during the year. Unless otherwise defined (for example where a beneficiary has a defined equity interest), their account value will be the total value of all trust property</w:t>
      </w:r>
      <w:r w:rsidRPr="00E962DB">
        <w:rPr>
          <w:rFonts w:ascii="FrutigerLTStd-Light" w:hAnsi="FrutigerLTStd-Light" w:cs="FrutigerLTStd-Light"/>
          <w:color w:val="000000"/>
          <w:sz w:val="17"/>
          <w:szCs w:val="17"/>
          <w:lang w:val="en-GB"/>
        </w:rPr>
        <w:t>.</w:t>
      </w:r>
    </w:p>
    <w:p w14:paraId="0D325691" w14:textId="77777777" w:rsidR="00562F87" w:rsidRPr="00E962DB" w:rsidRDefault="00562F87" w:rsidP="00A76DE4">
      <w:pPr>
        <w:spacing w:line="360" w:lineRule="auto"/>
        <w:jc w:val="both"/>
        <w:rPr>
          <w:rFonts w:ascii="Arial" w:hAnsi="Arial" w:cs="Arial"/>
          <w:sz w:val="24"/>
          <w:szCs w:val="24"/>
        </w:rPr>
      </w:pPr>
      <w:r w:rsidRPr="00E962DB">
        <w:rPr>
          <w:rFonts w:ascii="Arial" w:hAnsi="Arial" w:cs="Arial"/>
          <w:color w:val="000000"/>
          <w:sz w:val="24"/>
          <w:lang w:val="en-GB"/>
        </w:rPr>
        <w:t>In the case of a trust, a person exercises ultimate effective control over the trust when that person has the power to change the trustees, thereby influencing the distribution of trust assets.</w:t>
      </w:r>
      <w:r w:rsidRPr="00E962DB">
        <w:rPr>
          <w:rFonts w:ascii="Arial" w:hAnsi="Arial" w:cs="Arial"/>
          <w:sz w:val="24"/>
          <w:szCs w:val="24"/>
        </w:rPr>
        <w:t xml:space="preserve">  A settlor is always reported, irrespective of whether the trust is revocable (i.e. where the settlor has maintained some interest or rights in the trust) or irrevocable. </w:t>
      </w:r>
    </w:p>
    <w:p w14:paraId="5F2FA75B" w14:textId="77777777" w:rsidR="00562F87" w:rsidRPr="00E962DB" w:rsidRDefault="00562F87" w:rsidP="00A76DE4">
      <w:pPr>
        <w:spacing w:line="360" w:lineRule="auto"/>
        <w:jc w:val="both"/>
        <w:rPr>
          <w:rFonts w:ascii="Arial" w:hAnsi="Arial" w:cs="Arial"/>
          <w:sz w:val="24"/>
          <w:szCs w:val="24"/>
        </w:rPr>
      </w:pPr>
    </w:p>
    <w:p w14:paraId="42342E1E" w14:textId="77777777" w:rsidR="00562F87" w:rsidRPr="00E962DB" w:rsidRDefault="00562F87" w:rsidP="000C7694">
      <w:pPr>
        <w:autoSpaceDE w:val="0"/>
        <w:autoSpaceDN w:val="0"/>
        <w:adjustRightInd w:val="0"/>
        <w:spacing w:line="360" w:lineRule="auto"/>
        <w:jc w:val="both"/>
        <w:rPr>
          <w:rFonts w:ascii="Arial" w:hAnsi="Arial" w:cs="Arial"/>
          <w:color w:val="000000"/>
          <w:sz w:val="24"/>
          <w:szCs w:val="24"/>
          <w:lang w:val="en-GB"/>
        </w:rPr>
      </w:pPr>
      <w:r w:rsidRPr="00E962DB">
        <w:rPr>
          <w:rFonts w:ascii="Arial" w:hAnsi="Arial" w:cs="Arial"/>
          <w:bCs/>
          <w:color w:val="000000"/>
          <w:sz w:val="24"/>
          <w:szCs w:val="24"/>
          <w:lang w:val="en-GB"/>
        </w:rPr>
        <w:t>Where the trust is an Investment Entity, the account balance information to be reported for each Account Holder of the trust may differ, depending on the type of trust,  whether the settlor is a beneficiary or not, and whether the trust is discretionary or not.</w:t>
      </w:r>
      <w:r w:rsidRPr="00E962DB">
        <w:rPr>
          <w:rFonts w:ascii="Arial" w:hAnsi="Arial" w:cs="Arial"/>
          <w:color w:val="000000"/>
          <w:sz w:val="24"/>
          <w:szCs w:val="24"/>
          <w:lang w:val="en-GB"/>
        </w:rPr>
        <w:t xml:space="preserve">   Where the value or balance attributable to each Account Holder is individually derived based on the nature or arrangement of the trust, such value or balance can be reported. For example, where the settlor is not a beneficiary of an irrevocable trust, the account balance attributable to him can be reported as nil. </w:t>
      </w:r>
    </w:p>
    <w:p w14:paraId="66DA097E" w14:textId="77777777" w:rsidR="00562F87" w:rsidRPr="00E962DB" w:rsidRDefault="00562F87" w:rsidP="000C7694">
      <w:pPr>
        <w:pStyle w:val="Default"/>
        <w:spacing w:line="360" w:lineRule="auto"/>
        <w:jc w:val="both"/>
        <w:rPr>
          <w:rFonts w:ascii="Arial" w:hAnsi="Arial" w:cs="Arial"/>
        </w:rPr>
      </w:pPr>
    </w:p>
    <w:p w14:paraId="55AB0362" w14:textId="7573D10B" w:rsidR="00562F87" w:rsidRPr="00E962DB" w:rsidRDefault="00562F87" w:rsidP="000C7694">
      <w:pPr>
        <w:pStyle w:val="Default"/>
        <w:spacing w:line="360" w:lineRule="auto"/>
        <w:jc w:val="both"/>
        <w:rPr>
          <w:rFonts w:ascii="Arial" w:hAnsi="Arial" w:cs="Arial"/>
          <w:lang w:eastAsia="en-US"/>
        </w:rPr>
      </w:pPr>
      <w:r w:rsidRPr="00E962DB">
        <w:rPr>
          <w:rFonts w:ascii="Arial" w:hAnsi="Arial" w:cs="Arial"/>
        </w:rPr>
        <w:t xml:space="preserve">Whether a </w:t>
      </w:r>
      <w:r w:rsidRPr="00E962DB">
        <w:rPr>
          <w:rFonts w:ascii="Arial" w:hAnsi="Arial" w:cs="Arial"/>
          <w:bCs/>
        </w:rPr>
        <w:t xml:space="preserve">reserved investment power trust, where investment powers over the trust’s assets are reserved solely to an individual who is not the trustee, should be considered to be an Investment Entity as defined under paragraph A(6)(b) of Section VIII of the CRS, </w:t>
      </w:r>
      <w:r w:rsidRPr="00E962DB">
        <w:rPr>
          <w:rFonts w:ascii="Arial" w:hAnsi="Arial" w:cs="Arial"/>
          <w:lang w:eastAsia="en-US"/>
        </w:rPr>
        <w:t xml:space="preserve"> will </w:t>
      </w:r>
      <w:r w:rsidRPr="00E962DB">
        <w:rPr>
          <w:rFonts w:ascii="Arial" w:hAnsi="Arial" w:cs="Arial"/>
        </w:rPr>
        <w:t xml:space="preserve">depend on whether the “managed by” criterion under subparagraph A(6)(b) of Section VIII of the CRS is met. For example, if the trustee which is a Financial Institution performs, either directly or through a service provider, any of the activities or operations described in subparagraph (A)(6)(a) of Section VIII of the CRS on behalf of the managed trust, and has discretionary authority to manage the trust’s assets (in whole or in part), such a trust could be considered to be an Investment Entity. </w:t>
      </w:r>
    </w:p>
    <w:p w14:paraId="1CADB3ED" w14:textId="77777777" w:rsidR="00562F87" w:rsidRPr="00E962DB" w:rsidRDefault="00562F87" w:rsidP="000C7694">
      <w:pPr>
        <w:autoSpaceDE w:val="0"/>
        <w:autoSpaceDN w:val="0"/>
        <w:adjustRightInd w:val="0"/>
        <w:spacing w:line="360" w:lineRule="auto"/>
        <w:jc w:val="both"/>
        <w:rPr>
          <w:rFonts w:ascii="Arial" w:hAnsi="Arial" w:cs="Arial"/>
          <w:color w:val="000000"/>
          <w:sz w:val="24"/>
          <w:szCs w:val="24"/>
          <w:lang w:val="en-GB"/>
        </w:rPr>
      </w:pPr>
    </w:p>
    <w:p w14:paraId="4EDC3F19" w14:textId="77777777" w:rsidR="00562F87" w:rsidRPr="00E962DB" w:rsidRDefault="00562F87" w:rsidP="000C7694">
      <w:pPr>
        <w:autoSpaceDE w:val="0"/>
        <w:autoSpaceDN w:val="0"/>
        <w:adjustRightInd w:val="0"/>
        <w:jc w:val="both"/>
        <w:rPr>
          <w:rFonts w:ascii="Arial" w:hAnsi="Arial" w:cs="Arial"/>
          <w:sz w:val="24"/>
          <w:lang w:val="en-GB"/>
        </w:rPr>
      </w:pPr>
    </w:p>
    <w:p w14:paraId="726D7E2B" w14:textId="77777777" w:rsidR="00562F87" w:rsidRPr="00E962DB" w:rsidRDefault="00562F87" w:rsidP="00A057DD">
      <w:pPr>
        <w:tabs>
          <w:tab w:val="left" w:pos="792"/>
        </w:tabs>
        <w:spacing w:line="360" w:lineRule="auto"/>
        <w:jc w:val="both"/>
        <w:textAlignment w:val="baseline"/>
        <w:rPr>
          <w:rFonts w:ascii="Arial" w:hAnsi="Arial" w:cs="Arial"/>
          <w:color w:val="000000"/>
          <w:sz w:val="24"/>
          <w:lang w:val="en-GB"/>
        </w:rPr>
      </w:pPr>
      <w:r w:rsidRPr="00E962DB">
        <w:rPr>
          <w:rFonts w:ascii="Arial" w:hAnsi="Arial" w:cs="Arial"/>
          <w:sz w:val="24"/>
          <w:lang w:val="en-GB"/>
        </w:rPr>
        <w:t xml:space="preserve">In accordance with the option available under CRS with respect to trusts that are Passive </w:t>
      </w:r>
      <w:r w:rsidRPr="00E962DB">
        <w:rPr>
          <w:rFonts w:ascii="Arial" w:hAnsi="Arial" w:cs="Arial"/>
          <w:color w:val="000000"/>
          <w:sz w:val="24"/>
          <w:lang w:val="en-GB"/>
        </w:rPr>
        <w:t>NFEs (non-financial entities), Reporting Financial Institutions may  align the scope of beneficiaries of a trust treated as Controlling Persons with the scope of beneficiaries treated as Reportable Persons where the trust itself is a Financial Institution. In the case the Controlling Person(s) of a trust that is treated as a Passive NFE and the Reportable Person(s) of a trust that is treated as a Financial Institution, Reporting Financial Institutions would then only need to report discretionary beneficiaries for the reporting period in which they receive a distribution from the trust.</w:t>
      </w:r>
    </w:p>
    <w:p w14:paraId="6D8E1A86" w14:textId="77777777" w:rsidR="00562F87" w:rsidRPr="00E962DB" w:rsidRDefault="00562F87" w:rsidP="00A057DD">
      <w:pPr>
        <w:tabs>
          <w:tab w:val="left" w:pos="792"/>
        </w:tabs>
        <w:spacing w:line="360" w:lineRule="auto"/>
        <w:ind w:left="792"/>
        <w:jc w:val="both"/>
        <w:textAlignment w:val="baseline"/>
        <w:rPr>
          <w:rFonts w:ascii="Arial" w:hAnsi="Arial" w:cs="Arial"/>
          <w:color w:val="000000"/>
          <w:sz w:val="24"/>
          <w:lang w:val="en-GB"/>
        </w:rPr>
      </w:pPr>
    </w:p>
    <w:p w14:paraId="7F9C7DE3"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Each Reporting Financial Institution must ensure that it has appropriate procedures in place to identify whether a distribution is made by the trust to a discretionary beneficiary in the reporting period, otherwise it will not be in compliance with its obligations under CRS.</w:t>
      </w:r>
    </w:p>
    <w:p w14:paraId="31966D5E"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72EE8B62" w14:textId="77777777" w:rsidR="00562F87" w:rsidRPr="00E962DB" w:rsidRDefault="00562F87" w:rsidP="002D4BBB">
      <w:pPr>
        <w:pStyle w:val="Heading2"/>
        <w:rPr>
          <w:lang w:val="en-GB"/>
        </w:rPr>
      </w:pPr>
      <w:bookmarkStart w:id="132" w:name="_Toc492290989"/>
      <w:r w:rsidRPr="00E962DB">
        <w:rPr>
          <w:lang w:val="en-GB"/>
        </w:rPr>
        <w:t>C.</w:t>
      </w:r>
      <w:r w:rsidRPr="00E962DB">
        <w:rPr>
          <w:lang w:val="en-GB"/>
        </w:rPr>
        <w:tab/>
        <w:t>Ultimate and Effective Control</w:t>
      </w:r>
      <w:bookmarkEnd w:id="132"/>
    </w:p>
    <w:p w14:paraId="44661F72" w14:textId="77777777" w:rsidR="00562F87" w:rsidRPr="00E962DB" w:rsidRDefault="00562F87" w:rsidP="002D4BBB">
      <w:pPr>
        <w:spacing w:line="360" w:lineRule="auto"/>
        <w:ind w:right="-585"/>
        <w:jc w:val="both"/>
        <w:rPr>
          <w:rFonts w:ascii="Arial" w:hAnsi="Arial" w:cs="Arial"/>
          <w:szCs w:val="24"/>
        </w:rPr>
      </w:pPr>
      <w:r w:rsidRPr="00E962DB">
        <w:rPr>
          <w:rFonts w:ascii="Arial" w:hAnsi="Arial" w:cs="Arial"/>
          <w:sz w:val="24"/>
          <w:szCs w:val="24"/>
        </w:rPr>
        <w:t>In the case of a trust, the term "Controlling Persons" means the settlor(s), the trustee(s), the protector(s) (if any), the beneficiary(ies) or class(es) of beneficiaries, and any other natural person(s) exercising ultimate effective control over the trust. The settlor(s), the trustee(s), the protector(s) (if any), and the beneficiary(ies) or class(es) of beneficiaries, must always be treated as Controlling Persons of a trust, regardless of whether or not any of them exercises control over the trust.</w:t>
      </w:r>
    </w:p>
    <w:p w14:paraId="1CD1212C" w14:textId="77777777" w:rsidR="00562F87" w:rsidRPr="00E962DB" w:rsidRDefault="00562F87" w:rsidP="002D4BBB">
      <w:pPr>
        <w:spacing w:line="360" w:lineRule="auto"/>
        <w:ind w:right="-585"/>
        <w:jc w:val="both"/>
        <w:rPr>
          <w:rFonts w:ascii="Arial" w:hAnsi="Arial" w:cs="Arial"/>
          <w:szCs w:val="24"/>
        </w:rPr>
      </w:pPr>
    </w:p>
    <w:p w14:paraId="1DF256C6" w14:textId="77777777" w:rsidR="00562F87" w:rsidRPr="00E962DB" w:rsidRDefault="00562F87" w:rsidP="002D4BBB">
      <w:pPr>
        <w:spacing w:line="360" w:lineRule="auto"/>
        <w:ind w:right="-585"/>
        <w:jc w:val="both"/>
        <w:rPr>
          <w:rFonts w:ascii="Arial" w:hAnsi="Arial" w:cs="Arial"/>
          <w:szCs w:val="24"/>
        </w:rPr>
      </w:pPr>
      <w:r w:rsidRPr="00E962DB">
        <w:rPr>
          <w:rFonts w:ascii="Arial" w:hAnsi="Arial" w:cs="Arial"/>
          <w:sz w:val="24"/>
          <w:szCs w:val="24"/>
        </w:rPr>
        <w:t xml:space="preserve">In addition, any other natural person(s) exercising ultimate effective control over the trust (including through a chain of control or ownership) must also be treated as a Controlling Person of the trust. With a view to establishing the source of funds in the account(s) held by the trust, where the settlor(s) of a trust is an Entity, Reporting Financial Institutions must also identify the Controlling Person(s) of the settlor(s) and report them as Controlling Person(s) of the trust. For beneficiary(ies) of trusts that are designated by characteristics or by class, Reporting Financial Institutions should obtain sufficient information concerning the beneficiary(ies) to satisfy the Reporting Financial Institution that it will be able to establish the identity of the beneficiary(ies) at the time of the pay-out or when the beneficiary(ies) intends to exercise vested rights. Therefore, that occasion will constitute a change in circumstances and will trigger the relevant procedures. </w:t>
      </w:r>
    </w:p>
    <w:p w14:paraId="74F7AFD6" w14:textId="77777777" w:rsidR="00562F87" w:rsidRPr="00E962DB" w:rsidRDefault="00562F87" w:rsidP="002D4BBB">
      <w:pPr>
        <w:spacing w:line="360" w:lineRule="auto"/>
        <w:ind w:right="-585"/>
        <w:jc w:val="both"/>
        <w:rPr>
          <w:rFonts w:ascii="Arial" w:hAnsi="Arial" w:cs="Arial"/>
          <w:sz w:val="24"/>
          <w:szCs w:val="24"/>
        </w:rPr>
      </w:pPr>
    </w:p>
    <w:p w14:paraId="5D2190A3" w14:textId="77777777" w:rsidR="00562F87" w:rsidRPr="00E962DB" w:rsidRDefault="00562F87" w:rsidP="002D4BBB">
      <w:pPr>
        <w:tabs>
          <w:tab w:val="left" w:pos="360"/>
        </w:tabs>
        <w:spacing w:line="360" w:lineRule="auto"/>
        <w:ind w:right="-585"/>
        <w:jc w:val="both"/>
        <w:rPr>
          <w:rFonts w:ascii="Arial" w:hAnsi="Arial" w:cs="Arial"/>
          <w:sz w:val="24"/>
          <w:szCs w:val="24"/>
        </w:rPr>
      </w:pPr>
      <w:r w:rsidRPr="00E962DB">
        <w:rPr>
          <w:rFonts w:ascii="Arial" w:hAnsi="Arial" w:cs="Arial"/>
          <w:sz w:val="24"/>
          <w:szCs w:val="24"/>
        </w:rPr>
        <w:t>In the case of a legal arrangement other than a trust, the term “Controlling Persons" means persons in equivalent or similar positions as those that are Controlling Persons of a trust. Thus, taking into account the different forms and structures of legal arrangements, Reporting Financial Institutions should identify and report persons in equivalent or similar positions, as those required to be identified and reported for trusts.</w:t>
      </w:r>
    </w:p>
    <w:p w14:paraId="6BB6ACA2" w14:textId="77777777" w:rsidR="00562F87" w:rsidRPr="00E962DB" w:rsidRDefault="00562F87" w:rsidP="002D4BBB">
      <w:pPr>
        <w:spacing w:line="360" w:lineRule="auto"/>
        <w:ind w:right="-585"/>
        <w:jc w:val="both"/>
        <w:rPr>
          <w:rFonts w:ascii="Arial" w:hAnsi="Arial" w:cs="Arial"/>
          <w:sz w:val="24"/>
          <w:szCs w:val="24"/>
        </w:rPr>
      </w:pPr>
    </w:p>
    <w:p w14:paraId="5A09A083" w14:textId="77777777" w:rsidR="00562F87" w:rsidRPr="00E962DB" w:rsidRDefault="00562F87" w:rsidP="002D4BBB">
      <w:pPr>
        <w:tabs>
          <w:tab w:val="left" w:pos="360"/>
        </w:tabs>
        <w:spacing w:line="360" w:lineRule="auto"/>
        <w:ind w:right="-585"/>
        <w:jc w:val="both"/>
        <w:rPr>
          <w:rFonts w:ascii="Arial" w:hAnsi="Arial" w:cs="Arial"/>
          <w:sz w:val="24"/>
          <w:szCs w:val="24"/>
        </w:rPr>
      </w:pPr>
      <w:r w:rsidRPr="00E962DB">
        <w:rPr>
          <w:rFonts w:ascii="Arial" w:hAnsi="Arial" w:cs="Arial"/>
          <w:sz w:val="24"/>
          <w:szCs w:val="24"/>
        </w:rPr>
        <w:t>In relation to legal persons that are functionally similar to trusts (e.g. foundations), Reporting Financial Institutions should identify Controlling Persons through similar customer due diligence procedures as those required for trusts, with a view to achieving appropriate levels of reporting.</w:t>
      </w:r>
    </w:p>
    <w:p w14:paraId="3E5F9D87" w14:textId="77777777" w:rsidR="00562F87" w:rsidRPr="00E962DB" w:rsidRDefault="00562F87" w:rsidP="002D4BBB">
      <w:pPr>
        <w:spacing w:line="360" w:lineRule="auto"/>
        <w:ind w:right="-585"/>
        <w:jc w:val="both"/>
        <w:rPr>
          <w:rFonts w:ascii="Arial" w:hAnsi="Arial" w:cs="Arial"/>
          <w:sz w:val="24"/>
          <w:szCs w:val="24"/>
        </w:rPr>
      </w:pPr>
    </w:p>
    <w:p w14:paraId="752B1902" w14:textId="77777777" w:rsidR="00562F87" w:rsidRPr="00E962DB" w:rsidRDefault="00562F87" w:rsidP="002D4BBB">
      <w:pPr>
        <w:tabs>
          <w:tab w:val="left" w:pos="360"/>
        </w:tabs>
        <w:spacing w:line="360" w:lineRule="auto"/>
        <w:ind w:right="-585"/>
        <w:jc w:val="both"/>
        <w:rPr>
          <w:rFonts w:ascii="Arial" w:hAnsi="Arial" w:cs="Arial"/>
          <w:sz w:val="24"/>
          <w:szCs w:val="24"/>
        </w:rPr>
      </w:pPr>
      <w:r w:rsidRPr="00E962DB">
        <w:rPr>
          <w:rFonts w:ascii="Arial" w:hAnsi="Arial" w:cs="Arial"/>
          <w:sz w:val="24"/>
          <w:szCs w:val="24"/>
        </w:rPr>
        <w:t>Where a Reporting Financial Institution relies on information collected and maintained pursuant to AML/KYC Procedures for purposes of determining the Controlling Persons of an Account Holder of a New Entity Account (see subparagraph A(2)(b) of Section VI of The Common Reporting Standard), such AML/KYC Procedures must be consistent with Recommendations 10 and 25 of the FATF Recommendations as implemented in The Bahamas, including always treating the settlor(s) of a trust as a Controlling Person of the trust and the founder(s) of a foundation as a Controlling Person of the foundation. For purposes of determining the Controlling Persons of an Account Holder of a Preexisting Entity Account (see subparagraph D(2)(b) of Section V of The Standard) , a Reporting Financial Institution may rely on information collected and maintained pursuant to the Reporting Financial Institution's AML/KYC Procedures.</w:t>
      </w:r>
    </w:p>
    <w:p w14:paraId="5329EA84" w14:textId="77777777" w:rsidR="00562F87" w:rsidRPr="00E962DB" w:rsidRDefault="00562F87" w:rsidP="002D4BBB">
      <w:pPr>
        <w:spacing w:line="360" w:lineRule="auto"/>
        <w:jc w:val="both"/>
        <w:textAlignment w:val="baseline"/>
        <w:rPr>
          <w:rFonts w:ascii="Arial" w:hAnsi="Arial" w:cs="Arial"/>
          <w:color w:val="000000"/>
          <w:sz w:val="24"/>
          <w:lang w:val="en-GB"/>
        </w:rPr>
      </w:pPr>
    </w:p>
    <w:p w14:paraId="0A16A0A6" w14:textId="77777777" w:rsidR="00562F87" w:rsidRPr="00E962DB" w:rsidRDefault="00562F87" w:rsidP="005D0659">
      <w:pPr>
        <w:pStyle w:val="Heading1"/>
        <w:numPr>
          <w:ilvl w:val="0"/>
          <w:numId w:val="24"/>
        </w:numPr>
        <w:ind w:left="0" w:firstLine="0"/>
        <w:jc w:val="center"/>
      </w:pPr>
      <w:bookmarkStart w:id="133" w:name="_Toc492290990"/>
      <w:r w:rsidRPr="00E962DB">
        <w:t xml:space="preserve"> ENTITY SPECIFIC ISSUES</w:t>
      </w:r>
      <w:bookmarkEnd w:id="133"/>
    </w:p>
    <w:p w14:paraId="211DB9DA" w14:textId="77777777" w:rsidR="00562F87" w:rsidRPr="00E962DB" w:rsidRDefault="00562F87" w:rsidP="008D1077">
      <w:pPr>
        <w:pStyle w:val="Heading2"/>
        <w:numPr>
          <w:ilvl w:val="0"/>
          <w:numId w:val="29"/>
        </w:numPr>
        <w:rPr>
          <w:lang w:val="en-GB"/>
        </w:rPr>
      </w:pPr>
      <w:bookmarkStart w:id="134" w:name="_Toc486250878"/>
      <w:bookmarkStart w:id="135" w:name="_Toc492290991"/>
      <w:r w:rsidRPr="00E962DB">
        <w:rPr>
          <w:lang w:val="en-GB"/>
        </w:rPr>
        <w:t>Financial Accounts of Investment Managers and Advisers</w:t>
      </w:r>
      <w:bookmarkEnd w:id="134"/>
      <w:bookmarkEnd w:id="135"/>
    </w:p>
    <w:p w14:paraId="0C6FA6DB" w14:textId="77777777" w:rsidR="00562F87" w:rsidRPr="00E962DB" w:rsidRDefault="00562F87" w:rsidP="00FC572A">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Financial Institutions that are not maintaining any financial accounts have no reporting responsibilities. Under CRS, an investment advisor or investment manager, i.e. an entity which is an Investment Entity solely because it (i) renders investment advice to, and acts on behalf of, or (ii) manages portfolios for, and acts on behalf of, a customer for the purpose of investing, managing, or administering Financial Assets deposited in the name of the customer with a Financial Institution other than itself, is regarded as not having any Financial Accounts.</w:t>
      </w:r>
    </w:p>
    <w:p w14:paraId="3260DE0D" w14:textId="77777777" w:rsidR="00562F87" w:rsidRPr="00E962DB" w:rsidRDefault="00562F87" w:rsidP="00FC572A">
      <w:pPr>
        <w:spacing w:line="360" w:lineRule="auto"/>
        <w:jc w:val="both"/>
        <w:textAlignment w:val="baseline"/>
        <w:rPr>
          <w:rFonts w:ascii="Arial" w:hAnsi="Arial" w:cs="Arial"/>
          <w:color w:val="000000"/>
          <w:sz w:val="24"/>
          <w:lang w:val="en-GB"/>
        </w:rPr>
      </w:pPr>
    </w:p>
    <w:p w14:paraId="49335EEE" w14:textId="77777777" w:rsidR="00562F87" w:rsidRPr="00E962DB" w:rsidRDefault="00562F87" w:rsidP="00FC572A">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CRS Regulations further provides that an Investment Entity that is a Financial Institution established in The Bahamas is a Non-Reporting Financial Institution if the Financial Institution —</w:t>
      </w:r>
    </w:p>
    <w:p w14:paraId="52CDB1DE" w14:textId="77777777" w:rsidR="00562F87" w:rsidRPr="00E962DB" w:rsidRDefault="00562F87" w:rsidP="002A6DB8">
      <w:pPr>
        <w:pStyle w:val="ListParagraph"/>
        <w:numPr>
          <w:ilvl w:val="0"/>
          <w:numId w:val="9"/>
        </w:num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renders investment advice to, and acts on behalf of, the customer;</w:t>
      </w:r>
    </w:p>
    <w:p w14:paraId="382D7095" w14:textId="77777777" w:rsidR="00562F87" w:rsidRPr="00E962DB" w:rsidRDefault="00562F87" w:rsidP="002A6DB8">
      <w:pPr>
        <w:pStyle w:val="ListParagraph"/>
        <w:numPr>
          <w:ilvl w:val="0"/>
          <w:numId w:val="9"/>
        </w:num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manages portfolios for, and acts on behalf of, a customer;</w:t>
      </w:r>
    </w:p>
    <w:p w14:paraId="4244E34A" w14:textId="77777777" w:rsidR="00562F87" w:rsidRPr="00E962DB" w:rsidRDefault="00562F87" w:rsidP="002A6DB8">
      <w:pPr>
        <w:pStyle w:val="ListParagraph"/>
        <w:numPr>
          <w:ilvl w:val="0"/>
          <w:numId w:val="9"/>
        </w:num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administers funds deposited in the name of the customer; or</w:t>
      </w:r>
    </w:p>
    <w:p w14:paraId="67D05B95" w14:textId="77777777" w:rsidR="00562F87" w:rsidRPr="00E962DB" w:rsidRDefault="00562F87" w:rsidP="002A6DB8">
      <w:pPr>
        <w:pStyle w:val="ListParagraph"/>
        <w:numPr>
          <w:ilvl w:val="0"/>
          <w:numId w:val="9"/>
        </w:num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 xml:space="preserve">performs or executes executive functions on behalf of a Reporting Financial Institution other than a Non-Reporting Financial Institution. </w:t>
      </w:r>
    </w:p>
    <w:p w14:paraId="3F564AD4" w14:textId="77777777" w:rsidR="00562F87" w:rsidRPr="00E962DB" w:rsidRDefault="00562F87" w:rsidP="001D5B91">
      <w:pPr>
        <w:spacing w:line="360" w:lineRule="auto"/>
        <w:jc w:val="both"/>
        <w:textAlignment w:val="baseline"/>
        <w:rPr>
          <w:rFonts w:ascii="Arial" w:hAnsi="Arial" w:cs="Arial"/>
          <w:color w:val="000000"/>
          <w:sz w:val="24"/>
          <w:lang w:val="en-GB"/>
        </w:rPr>
      </w:pPr>
    </w:p>
    <w:p w14:paraId="6C818FD7" w14:textId="77777777" w:rsidR="00562F87" w:rsidRPr="00E962DB" w:rsidRDefault="00562F87" w:rsidP="0027145B">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 CRS Regulations declares for the purposes of CRS, any Bahamian investment advisor, investment manager, fund administrator or other entity that executes executive functions on behalf of a Reporting Financial Institution as a Non-Reporting Financial Institution.</w:t>
      </w:r>
      <w:r w:rsidR="00FA5FAB" w:rsidRPr="00E962DB">
        <w:rPr>
          <w:rFonts w:ascii="Arial" w:hAnsi="Arial" w:cs="Arial"/>
          <w:color w:val="000000"/>
          <w:sz w:val="24"/>
          <w:lang w:val="en-GB"/>
        </w:rPr>
        <w:t xml:space="preserve"> Where such entities do have financial accounts, they will not fall within this exclusion.</w:t>
      </w:r>
    </w:p>
    <w:p w14:paraId="4178095E" w14:textId="77777777" w:rsidR="00562F87" w:rsidRPr="00E962DB" w:rsidRDefault="00562F87" w:rsidP="00A057DD">
      <w:pPr>
        <w:spacing w:line="360" w:lineRule="auto"/>
        <w:jc w:val="both"/>
        <w:textAlignment w:val="baseline"/>
        <w:rPr>
          <w:rFonts w:ascii="Arial" w:hAnsi="Arial" w:cs="Arial"/>
          <w:b/>
          <w:color w:val="4F81BC"/>
          <w:sz w:val="26"/>
          <w:lang w:val="en-GB"/>
        </w:rPr>
      </w:pPr>
    </w:p>
    <w:p w14:paraId="350C221B" w14:textId="77777777" w:rsidR="00562F87" w:rsidRPr="00E962DB" w:rsidRDefault="00562F87" w:rsidP="008D1077">
      <w:pPr>
        <w:pStyle w:val="Heading2"/>
        <w:numPr>
          <w:ilvl w:val="0"/>
          <w:numId w:val="29"/>
        </w:numPr>
        <w:rPr>
          <w:lang w:val="en-GB"/>
        </w:rPr>
      </w:pPr>
      <w:bookmarkStart w:id="136" w:name="_Toc492290992"/>
      <w:r w:rsidRPr="00E962DB">
        <w:rPr>
          <w:lang w:val="en-GB"/>
        </w:rPr>
        <w:t>Non-Participating Jurisdiction Investment Entities</w:t>
      </w:r>
      <w:bookmarkEnd w:id="136"/>
    </w:p>
    <w:p w14:paraId="2D85402C"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In accordance with the definition of Passive NFE in the CRS Regulations, Reporting Financial Institutions are required to treat ‘managed’ Investment Entities, (or branches thereof) that are resident in (or located in) any Non-Participating Jurisdiction, as Passive NFEs and therefore report on the Controlling Persons of such entities that are Reportable Persons as defined in CRS.</w:t>
      </w:r>
    </w:p>
    <w:p w14:paraId="6BFBB412"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3237F972"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‘Managed’ Investment Entities are those that meet the second limb of the definition of an Investment Entity as set out in paragraph A6.b) of section VIII of CRS.</w:t>
      </w:r>
    </w:p>
    <w:p w14:paraId="28695B43"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6CDEF2CD" w14:textId="77777777" w:rsidR="00562F87" w:rsidRPr="00E962DB" w:rsidRDefault="00562F87" w:rsidP="008D1077">
      <w:pPr>
        <w:pStyle w:val="Heading2"/>
        <w:numPr>
          <w:ilvl w:val="0"/>
          <w:numId w:val="29"/>
        </w:numPr>
        <w:rPr>
          <w:lang w:val="en-GB"/>
        </w:rPr>
      </w:pPr>
      <w:bookmarkStart w:id="137" w:name="_Toc486250880"/>
      <w:bookmarkStart w:id="138" w:name="_Toc492290993"/>
      <w:r w:rsidRPr="00E962DB">
        <w:rPr>
          <w:lang w:val="en-GB"/>
        </w:rPr>
        <w:t>Determination of CRS Status of Entities</w:t>
      </w:r>
      <w:bookmarkEnd w:id="137"/>
      <w:bookmarkEnd w:id="138"/>
    </w:p>
    <w:p w14:paraId="40159E08" w14:textId="77777777" w:rsidR="00562F87" w:rsidRPr="00E962DB" w:rsidRDefault="00562F87" w:rsidP="00A057DD">
      <w:pPr>
        <w:spacing w:line="360" w:lineRule="auto"/>
        <w:jc w:val="both"/>
        <w:textAlignment w:val="baseline"/>
        <w:rPr>
          <w:rFonts w:ascii="Arial" w:hAnsi="Arial" w:cs="Arial"/>
          <w:color w:val="000000"/>
          <w:spacing w:val="2"/>
          <w:sz w:val="24"/>
          <w:lang w:val="en-GB"/>
        </w:rPr>
      </w:pPr>
      <w:r w:rsidRPr="00E962DB">
        <w:rPr>
          <w:rFonts w:ascii="Arial" w:hAnsi="Arial" w:cs="Arial"/>
          <w:color w:val="000000"/>
          <w:spacing w:val="2"/>
          <w:sz w:val="24"/>
          <w:lang w:val="en-GB"/>
        </w:rPr>
        <w:t>CRS commentary provides that an Entity’s status as a Financial Institution or non-financial entity (NFE) should be resolved under the laws of the participating jurisdiction in which the Entity is resident. If an Entity is resident in a Non-Participating Jurisdiction, the rules of the jurisdiction in which the account is maintained determine the Entity’s status as a Financial Institution or NFE since there are no other rules available.</w:t>
      </w:r>
    </w:p>
    <w:p w14:paraId="185C609E" w14:textId="77777777" w:rsidR="00562F87" w:rsidRPr="00E962DB" w:rsidRDefault="00562F87" w:rsidP="00A057DD">
      <w:pPr>
        <w:spacing w:line="360" w:lineRule="auto"/>
        <w:jc w:val="both"/>
        <w:textAlignment w:val="baseline"/>
        <w:rPr>
          <w:rFonts w:ascii="Arial" w:hAnsi="Arial" w:cs="Arial"/>
          <w:color w:val="000000"/>
          <w:spacing w:val="2"/>
          <w:sz w:val="24"/>
          <w:lang w:val="en-GB"/>
        </w:rPr>
      </w:pPr>
    </w:p>
    <w:p w14:paraId="2AF33A5B" w14:textId="77777777" w:rsidR="00562F87" w:rsidRPr="00E962DB" w:rsidRDefault="00562F87" w:rsidP="00A057DD">
      <w:pPr>
        <w:spacing w:line="360" w:lineRule="auto"/>
        <w:jc w:val="both"/>
        <w:textAlignment w:val="baseline"/>
        <w:rPr>
          <w:rFonts w:ascii="Arial" w:hAnsi="Arial" w:cs="Arial"/>
          <w:color w:val="000000"/>
          <w:sz w:val="24"/>
          <w:lang w:val="en-GB"/>
        </w:rPr>
      </w:pPr>
      <w:r w:rsidRPr="00E962DB">
        <w:rPr>
          <w:rFonts w:ascii="Arial" w:hAnsi="Arial" w:cs="Arial"/>
          <w:color w:val="000000"/>
          <w:sz w:val="24"/>
          <w:lang w:val="en-GB"/>
        </w:rPr>
        <w:t>Therefore, when determining the status of an Entity resident in a Non-Participating Jurisdiction as an active or passive NFE, the rules of the jurisdiction in which the account is maintained determine the Entity’s status. For example, a Financial Institution resident in a Non-Participating Jurisdiction with accounts maintained in The Bahamas may apply the active NFE definition applicable to Bahamian Entities.</w:t>
      </w:r>
    </w:p>
    <w:p w14:paraId="50128E4C" w14:textId="77777777" w:rsidR="00562F87" w:rsidRPr="00E962DB" w:rsidRDefault="00562F87" w:rsidP="00A057DD">
      <w:pPr>
        <w:spacing w:line="360" w:lineRule="auto"/>
        <w:jc w:val="both"/>
        <w:textAlignment w:val="baseline"/>
        <w:rPr>
          <w:rFonts w:ascii="Arial" w:hAnsi="Arial" w:cs="Arial"/>
          <w:color w:val="000000"/>
          <w:sz w:val="24"/>
          <w:lang w:val="en-GB"/>
        </w:rPr>
      </w:pPr>
    </w:p>
    <w:p w14:paraId="72E9E042" w14:textId="77777777" w:rsidR="00562F87" w:rsidRPr="00E962DB" w:rsidRDefault="00562F87" w:rsidP="008D1077">
      <w:pPr>
        <w:pStyle w:val="Heading2"/>
        <w:numPr>
          <w:ilvl w:val="0"/>
          <w:numId w:val="29"/>
        </w:numPr>
        <w:rPr>
          <w:lang w:val="en-GB"/>
        </w:rPr>
      </w:pPr>
      <w:bookmarkStart w:id="139" w:name="_Toc492290994"/>
      <w:r w:rsidRPr="00E962DB">
        <w:rPr>
          <w:lang w:val="en-GB"/>
        </w:rPr>
        <w:t>Investment Entity</w:t>
      </w:r>
      <w:bookmarkEnd w:id="139"/>
    </w:p>
    <w:p w14:paraId="114D3E56" w14:textId="77777777" w:rsidR="00562F87" w:rsidRPr="00E962DB" w:rsidRDefault="00562F87" w:rsidP="00233499">
      <w:pPr>
        <w:spacing w:line="360" w:lineRule="auto"/>
        <w:jc w:val="both"/>
        <w:textAlignment w:val="baseline"/>
        <w:rPr>
          <w:rFonts w:ascii="Arial" w:hAnsi="Arial" w:cs="Arial"/>
          <w:color w:val="000000"/>
          <w:sz w:val="24"/>
        </w:rPr>
      </w:pPr>
      <w:r w:rsidRPr="00E962DB">
        <w:rPr>
          <w:rFonts w:ascii="Arial" w:hAnsi="Arial" w:cs="Arial"/>
          <w:color w:val="000000"/>
          <w:sz w:val="24"/>
        </w:rPr>
        <w:t>An Investment Entity is an entity that:</w:t>
      </w:r>
    </w:p>
    <w:p w14:paraId="5B5D348B" w14:textId="77777777" w:rsidR="00562F87" w:rsidRPr="00E962DB" w:rsidRDefault="00562F87" w:rsidP="00BC4E8E">
      <w:pPr>
        <w:pStyle w:val="ListParagraph"/>
        <w:numPr>
          <w:ilvl w:val="0"/>
          <w:numId w:val="34"/>
        </w:numPr>
        <w:spacing w:line="360" w:lineRule="auto"/>
        <w:jc w:val="both"/>
        <w:textAlignment w:val="baseline"/>
        <w:rPr>
          <w:rFonts w:ascii="Arial" w:hAnsi="Arial" w:cs="Arial"/>
          <w:color w:val="000000"/>
          <w:sz w:val="24"/>
        </w:rPr>
      </w:pPr>
      <w:r w:rsidRPr="00E962DB">
        <w:rPr>
          <w:rFonts w:ascii="Arial" w:hAnsi="Arial" w:cs="Arial"/>
          <w:color w:val="000000"/>
          <w:sz w:val="24"/>
        </w:rPr>
        <w:t>primarily conducts as a business one or more of the following activities or operations for or on behalf of a customer:</w:t>
      </w:r>
    </w:p>
    <w:p w14:paraId="21B5A764" w14:textId="77777777" w:rsidR="00562F87" w:rsidRPr="00E962DB" w:rsidRDefault="00562F87" w:rsidP="00BC4E8E">
      <w:pPr>
        <w:pStyle w:val="ListParagraph"/>
        <w:numPr>
          <w:ilvl w:val="1"/>
          <w:numId w:val="34"/>
        </w:numPr>
        <w:spacing w:line="360" w:lineRule="auto"/>
        <w:jc w:val="both"/>
        <w:textAlignment w:val="baseline"/>
        <w:rPr>
          <w:rFonts w:ascii="Arial" w:hAnsi="Arial" w:cs="Arial"/>
          <w:color w:val="000000"/>
          <w:sz w:val="24"/>
        </w:rPr>
      </w:pPr>
      <w:r w:rsidRPr="00E962DB">
        <w:rPr>
          <w:rFonts w:ascii="Arial" w:hAnsi="Arial" w:cs="Arial"/>
          <w:color w:val="000000"/>
          <w:sz w:val="24"/>
        </w:rPr>
        <w:t>trading in money market instruments (cheques, bills, certificates of deposit, derivatives, etc.); foreign exchange; exchange, interest rate and index instruments; transferable securities; or commodity futures trading;</w:t>
      </w:r>
    </w:p>
    <w:p w14:paraId="50E37A93" w14:textId="77777777" w:rsidR="00562F87" w:rsidRPr="00E962DB" w:rsidRDefault="00562F87" w:rsidP="00BC4E8E">
      <w:pPr>
        <w:pStyle w:val="ListParagraph"/>
        <w:numPr>
          <w:ilvl w:val="1"/>
          <w:numId w:val="34"/>
        </w:numPr>
        <w:spacing w:line="360" w:lineRule="auto"/>
        <w:jc w:val="both"/>
        <w:textAlignment w:val="baseline"/>
        <w:rPr>
          <w:rFonts w:ascii="Arial" w:hAnsi="Arial" w:cs="Arial"/>
          <w:color w:val="000000"/>
          <w:sz w:val="24"/>
        </w:rPr>
      </w:pPr>
      <w:r w:rsidRPr="00E962DB">
        <w:rPr>
          <w:rFonts w:ascii="Arial" w:hAnsi="Arial" w:cs="Arial"/>
          <w:color w:val="000000"/>
          <w:sz w:val="24"/>
        </w:rPr>
        <w:t xml:space="preserve">individual and collective portfolio management; or </w:t>
      </w:r>
    </w:p>
    <w:p w14:paraId="41E22BAC" w14:textId="77777777" w:rsidR="00562F87" w:rsidRPr="00E962DB" w:rsidRDefault="00562F87" w:rsidP="00BC4E8E">
      <w:pPr>
        <w:pStyle w:val="ListParagraph"/>
        <w:numPr>
          <w:ilvl w:val="1"/>
          <w:numId w:val="34"/>
        </w:numPr>
        <w:spacing w:line="360" w:lineRule="auto"/>
        <w:jc w:val="both"/>
        <w:textAlignment w:val="baseline"/>
        <w:rPr>
          <w:rFonts w:ascii="Arial" w:hAnsi="Arial" w:cs="Arial"/>
          <w:color w:val="000000"/>
          <w:sz w:val="24"/>
        </w:rPr>
      </w:pPr>
      <w:r w:rsidRPr="00E962DB">
        <w:rPr>
          <w:rFonts w:ascii="Arial" w:hAnsi="Arial" w:cs="Arial"/>
          <w:color w:val="000000"/>
          <w:sz w:val="24"/>
        </w:rPr>
        <w:t>otherwise investing, administering, or managing Financial Assets or money on behalf of other persons; or</w:t>
      </w:r>
    </w:p>
    <w:p w14:paraId="1CB25042" w14:textId="77777777" w:rsidR="00562F87" w:rsidRPr="00E962DB" w:rsidRDefault="00562F87" w:rsidP="00BC4E8E">
      <w:pPr>
        <w:pStyle w:val="ListParagraph"/>
        <w:numPr>
          <w:ilvl w:val="0"/>
          <w:numId w:val="34"/>
        </w:numPr>
        <w:spacing w:line="360" w:lineRule="auto"/>
        <w:jc w:val="both"/>
        <w:textAlignment w:val="baseline"/>
        <w:rPr>
          <w:rFonts w:ascii="Arial" w:hAnsi="Arial" w:cs="Arial"/>
          <w:color w:val="000000"/>
          <w:sz w:val="24"/>
        </w:rPr>
      </w:pPr>
      <w:r w:rsidRPr="00E962DB">
        <w:rPr>
          <w:rFonts w:ascii="Arial" w:hAnsi="Arial" w:cs="Arial"/>
          <w:color w:val="000000"/>
          <w:sz w:val="24"/>
        </w:rPr>
        <w:t>the gross income of which is primarily attributable to investing, reinvesting, or trading in Financial Assets, if the Entity is managed by another Entity that is a Depository Institution, a Custodial Institution, a Specified Insurance Company, or an Investment Entity described in (a) above.</w:t>
      </w:r>
    </w:p>
    <w:p w14:paraId="7FBDC798" w14:textId="77777777" w:rsidR="00562F87" w:rsidRPr="00E962DB" w:rsidRDefault="00562F87" w:rsidP="00233499">
      <w:pPr>
        <w:spacing w:line="360" w:lineRule="auto"/>
        <w:jc w:val="both"/>
        <w:textAlignment w:val="baseline"/>
        <w:rPr>
          <w:rFonts w:ascii="Arial" w:hAnsi="Arial" w:cs="Arial"/>
          <w:color w:val="000000"/>
          <w:sz w:val="24"/>
        </w:rPr>
      </w:pPr>
    </w:p>
    <w:p w14:paraId="2E9F0755" w14:textId="77777777" w:rsidR="00F3259A" w:rsidRPr="00E962DB" w:rsidRDefault="00F3259A" w:rsidP="00F3259A">
      <w:pPr>
        <w:spacing w:line="360" w:lineRule="auto"/>
        <w:jc w:val="both"/>
        <w:textAlignment w:val="baseline"/>
        <w:rPr>
          <w:rFonts w:ascii="Arial" w:hAnsi="Arial" w:cs="Arial"/>
          <w:color w:val="000000"/>
          <w:sz w:val="24"/>
        </w:rPr>
      </w:pPr>
      <w:r w:rsidRPr="00E962DB">
        <w:rPr>
          <w:rFonts w:ascii="Arial" w:hAnsi="Arial" w:cs="Arial"/>
          <w:sz w:val="24"/>
          <w:szCs w:val="24"/>
        </w:rPr>
        <w:t xml:space="preserve">An Entity is treated as primarily conducting as a business one or more of the activities described in subparagraph (a), or an Entity’s gross income is primarily attributable to investing, reinvesting, or trading in Financial Assets for purposes of subparagraph (b), if the Entity’s gross income attributable to the relevant activities equals or exceeds 50% of the Entity’s gross income during the shorter of: </w:t>
      </w:r>
      <w:r w:rsidRPr="00E962DB">
        <w:rPr>
          <w:rFonts w:ascii="Arial" w:hAnsi="Arial" w:cs="Arial"/>
          <w:i/>
          <w:iCs/>
          <w:sz w:val="24"/>
          <w:szCs w:val="24"/>
        </w:rPr>
        <w:t xml:space="preserve">(i) </w:t>
      </w:r>
      <w:r w:rsidRPr="00E962DB">
        <w:rPr>
          <w:rFonts w:ascii="Arial" w:hAnsi="Arial" w:cs="Arial"/>
          <w:sz w:val="24"/>
          <w:szCs w:val="24"/>
        </w:rPr>
        <w:t xml:space="preserve">the three-year period ending on 31 December of the year preceding the year in which the determination is made; or </w:t>
      </w:r>
      <w:r w:rsidRPr="00E962DB">
        <w:rPr>
          <w:rFonts w:ascii="Arial" w:hAnsi="Arial" w:cs="Arial"/>
          <w:i/>
          <w:iCs/>
          <w:sz w:val="24"/>
          <w:szCs w:val="24"/>
        </w:rPr>
        <w:t xml:space="preserve">(ii) </w:t>
      </w:r>
      <w:r w:rsidRPr="00E962DB">
        <w:rPr>
          <w:rFonts w:ascii="Arial" w:hAnsi="Arial" w:cs="Arial"/>
          <w:sz w:val="24"/>
          <w:szCs w:val="24"/>
        </w:rPr>
        <w:t xml:space="preserve">the period during which the Entity has been in existence. The term “Investment Entity” does not include an Entity that is an Active NFE because it meets any of the criteria in subparagraphs D(9)(d) through (g). </w:t>
      </w:r>
      <w:r w:rsidRPr="00E962DB">
        <w:rPr>
          <w:rFonts w:ascii="Arial" w:hAnsi="Arial" w:cs="Arial"/>
          <w:color w:val="000000"/>
          <w:sz w:val="24"/>
        </w:rPr>
        <w:t>CRS requires that this definition should be interpreted in a manner consistent with similar language set forth in the definition of ‘financial institution’ in the Financial Action Task Force Recommendations.</w:t>
      </w:r>
    </w:p>
    <w:p w14:paraId="25E91E20" w14:textId="77777777" w:rsidR="00F3259A" w:rsidRPr="00E962DB" w:rsidRDefault="00F3259A" w:rsidP="00E962DB">
      <w:pPr>
        <w:autoSpaceDE w:val="0"/>
        <w:autoSpaceDN w:val="0"/>
        <w:adjustRightInd w:val="0"/>
        <w:spacing w:line="480" w:lineRule="auto"/>
        <w:rPr>
          <w:rFonts w:ascii="Arial" w:hAnsi="Arial" w:cs="Arial"/>
          <w:sz w:val="24"/>
          <w:szCs w:val="24"/>
        </w:rPr>
      </w:pPr>
    </w:p>
    <w:p w14:paraId="7B3567B8" w14:textId="77777777" w:rsidR="00F3259A" w:rsidRPr="00E962DB" w:rsidRDefault="00F3259A" w:rsidP="00E962DB">
      <w:pPr>
        <w:autoSpaceDE w:val="0"/>
        <w:autoSpaceDN w:val="0"/>
        <w:adjustRightInd w:val="0"/>
        <w:spacing w:line="480" w:lineRule="auto"/>
        <w:rPr>
          <w:rFonts w:ascii="Arial" w:hAnsi="Arial" w:cs="Arial"/>
          <w:sz w:val="24"/>
          <w:szCs w:val="24"/>
        </w:rPr>
      </w:pPr>
      <w:r w:rsidRPr="00E962DB">
        <w:rPr>
          <w:rFonts w:ascii="Arial" w:hAnsi="Arial" w:cs="Arial"/>
          <w:sz w:val="24"/>
          <w:szCs w:val="24"/>
        </w:rPr>
        <w:t xml:space="preserve">The term </w:t>
      </w:r>
      <w:r w:rsidRPr="00E962DB">
        <w:rPr>
          <w:rFonts w:ascii="Arial" w:hAnsi="Arial" w:cs="Arial"/>
          <w:b/>
          <w:bCs/>
          <w:sz w:val="24"/>
          <w:szCs w:val="24"/>
        </w:rPr>
        <w:t xml:space="preserve">“Financial Asset” </w:t>
      </w:r>
      <w:r w:rsidRPr="00E962DB">
        <w:rPr>
          <w:rFonts w:ascii="Arial" w:hAnsi="Arial" w:cs="Arial"/>
          <w:sz w:val="24"/>
          <w:szCs w:val="24"/>
        </w:rPr>
        <w:t>includes a security (for example, a share of stock in a corporation; partnership or beneficial ownership interest in a widely held or publicly traded partnership or trust; note, bond, debenture, or other evidence of indebtedness), partnership interest, commodity, swap (for example, interest rate swaps,  urrency swaps, basis swaps, interest rate caps, interest rate floors, commodity swaps, equity swaps, equity index swaps, and similar agreements), Insurance Contract or Annuity Contract, or any interest (including a futures or forward contract or option) in a security, partnership interest, commodity, swap, Insurance Contract, or Annuity Contract. The term “Financial Asset” does not include a non-debt, direct interest in real property.</w:t>
      </w:r>
    </w:p>
    <w:p w14:paraId="4AD90397" w14:textId="77777777" w:rsidR="00F3259A" w:rsidRPr="00E962DB" w:rsidRDefault="00F3259A" w:rsidP="00E962DB">
      <w:pPr>
        <w:autoSpaceDE w:val="0"/>
        <w:autoSpaceDN w:val="0"/>
        <w:adjustRightInd w:val="0"/>
        <w:spacing w:line="480" w:lineRule="auto"/>
        <w:rPr>
          <w:rFonts w:ascii="Arial" w:hAnsi="Arial" w:cs="Arial"/>
          <w:color w:val="000000"/>
          <w:sz w:val="24"/>
          <w:szCs w:val="24"/>
        </w:rPr>
      </w:pPr>
    </w:p>
    <w:p w14:paraId="75145C13" w14:textId="77777777" w:rsidR="00562F87" w:rsidRPr="00E962DB" w:rsidRDefault="00562F87" w:rsidP="00F6242C">
      <w:pPr>
        <w:spacing w:line="360" w:lineRule="auto"/>
        <w:jc w:val="both"/>
        <w:textAlignment w:val="baseline"/>
        <w:rPr>
          <w:rFonts w:ascii="Arial" w:hAnsi="Arial" w:cs="Arial"/>
          <w:color w:val="000000"/>
          <w:sz w:val="24"/>
        </w:rPr>
      </w:pPr>
    </w:p>
    <w:p w14:paraId="291D2ABC" w14:textId="77777777" w:rsidR="00562F87" w:rsidRPr="00E962DB" w:rsidRDefault="00562F87" w:rsidP="00065CD7">
      <w:pPr>
        <w:pStyle w:val="Heading2"/>
        <w:numPr>
          <w:ilvl w:val="0"/>
          <w:numId w:val="29"/>
        </w:numPr>
      </w:pPr>
      <w:bookmarkStart w:id="140" w:name="_Toc492290995"/>
      <w:r w:rsidRPr="00E962DB">
        <w:t>Applying the “Managed By Test”</w:t>
      </w:r>
      <w:bookmarkEnd w:id="140"/>
    </w:p>
    <w:p w14:paraId="5EFD3301" w14:textId="77777777" w:rsidR="00562F87" w:rsidRPr="00E962DB" w:rsidRDefault="00562F87" w:rsidP="00F6242C">
      <w:pPr>
        <w:spacing w:line="360" w:lineRule="auto"/>
        <w:jc w:val="both"/>
        <w:textAlignment w:val="baseline"/>
        <w:rPr>
          <w:rFonts w:ascii="Arial" w:hAnsi="Arial" w:cs="Arial"/>
          <w:color w:val="000000"/>
          <w:sz w:val="24"/>
        </w:rPr>
      </w:pPr>
      <w:r w:rsidRPr="00E962DB">
        <w:rPr>
          <w:rFonts w:ascii="Arial" w:hAnsi="Arial" w:cs="Arial"/>
          <w:color w:val="000000"/>
          <w:sz w:val="24"/>
        </w:rPr>
        <w:t xml:space="preserve">When applying the “managed by” test, an entity shall be an Investment Entity where: </w:t>
      </w:r>
    </w:p>
    <w:p w14:paraId="329A9CDC" w14:textId="77777777" w:rsidR="00587E6B" w:rsidRPr="00E962DB" w:rsidRDefault="00562F87" w:rsidP="000418E5">
      <w:pPr>
        <w:pStyle w:val="ListParagraph"/>
        <w:numPr>
          <w:ilvl w:val="0"/>
          <w:numId w:val="39"/>
        </w:numPr>
        <w:spacing w:line="360" w:lineRule="auto"/>
        <w:jc w:val="both"/>
        <w:textAlignment w:val="baseline"/>
        <w:rPr>
          <w:rFonts w:ascii="Arial" w:hAnsi="Arial" w:cs="Arial"/>
          <w:color w:val="000000"/>
          <w:sz w:val="24"/>
        </w:rPr>
      </w:pPr>
      <w:r w:rsidRPr="00E962DB">
        <w:rPr>
          <w:rFonts w:ascii="Arial" w:hAnsi="Arial" w:cs="Arial"/>
          <w:color w:val="000000"/>
          <w:sz w:val="24"/>
        </w:rPr>
        <w:t xml:space="preserve">It is professionally managed by a Financial Institution, provided such Financial Institution has discretionary authority to manage the entity’s assets (in whole or part); </w:t>
      </w:r>
    </w:p>
    <w:p w14:paraId="7080622F" w14:textId="77777777" w:rsidR="00562F87" w:rsidRPr="00E962DB" w:rsidRDefault="00587E6B" w:rsidP="00E962DB">
      <w:pPr>
        <w:pStyle w:val="ListParagraph"/>
        <w:numPr>
          <w:ilvl w:val="0"/>
          <w:numId w:val="39"/>
        </w:numPr>
        <w:spacing w:line="360" w:lineRule="auto"/>
        <w:jc w:val="both"/>
        <w:textAlignment w:val="baseline"/>
        <w:rPr>
          <w:rFonts w:ascii="Arial" w:hAnsi="Arial" w:cs="Arial"/>
          <w:color w:val="000000"/>
          <w:sz w:val="24"/>
        </w:rPr>
      </w:pPr>
      <w:r w:rsidRPr="00E962DB">
        <w:rPr>
          <w:rFonts w:ascii="Arial" w:hAnsi="Arial" w:cs="Arial"/>
          <w:color w:val="000000"/>
          <w:sz w:val="24"/>
        </w:rPr>
        <w:t xml:space="preserve">An Entity is “managed by” another Entity if the managing Entity performs, either directly or through another service provider, any of the activities or operations described in subparagraph D (a) on behalf of the managed Entity; </w:t>
      </w:r>
      <w:r w:rsidR="00562F87" w:rsidRPr="00E962DB">
        <w:rPr>
          <w:rFonts w:ascii="Arial" w:hAnsi="Arial" w:cs="Arial"/>
          <w:color w:val="000000"/>
          <w:sz w:val="24"/>
        </w:rPr>
        <w:t>and</w:t>
      </w:r>
    </w:p>
    <w:p w14:paraId="0843A31B" w14:textId="2925CA0D" w:rsidR="00562F87" w:rsidRPr="00E962DB" w:rsidRDefault="00562F87" w:rsidP="00E962DB">
      <w:pPr>
        <w:pStyle w:val="ListParagraph"/>
        <w:numPr>
          <w:ilvl w:val="0"/>
          <w:numId w:val="39"/>
        </w:numPr>
        <w:spacing w:line="360" w:lineRule="auto"/>
        <w:jc w:val="both"/>
        <w:textAlignment w:val="baseline"/>
        <w:rPr>
          <w:rFonts w:ascii="Arial" w:hAnsi="Arial" w:cs="Arial"/>
          <w:color w:val="000000"/>
          <w:sz w:val="24"/>
        </w:rPr>
      </w:pPr>
      <w:r w:rsidRPr="00E962DB">
        <w:rPr>
          <w:rFonts w:ascii="Arial" w:hAnsi="Arial" w:cs="Arial"/>
          <w:color w:val="000000"/>
          <w:sz w:val="24"/>
        </w:rPr>
        <w:t>The entity satisfies the financial assets test</w:t>
      </w:r>
      <w:r w:rsidR="00207F68" w:rsidRPr="00E962DB">
        <w:rPr>
          <w:rFonts w:ascii="Arial" w:hAnsi="Arial" w:cs="Arial"/>
          <w:color w:val="000000"/>
          <w:sz w:val="24"/>
        </w:rPr>
        <w:t xml:space="preserve"> ( Refer to paragraph 7 at page 7 of The Commentary and paragraph 17 at page 162)</w:t>
      </w:r>
    </w:p>
    <w:p w14:paraId="25D50A5E" w14:textId="77777777" w:rsidR="00562F87" w:rsidRPr="00E962DB" w:rsidRDefault="00562F87" w:rsidP="0089597C">
      <w:pPr>
        <w:spacing w:line="360" w:lineRule="auto"/>
        <w:jc w:val="both"/>
        <w:textAlignment w:val="baseline"/>
        <w:rPr>
          <w:rFonts w:ascii="Arial" w:hAnsi="Arial" w:cs="Arial"/>
          <w:b/>
          <w:color w:val="000000"/>
          <w:sz w:val="24"/>
        </w:rPr>
      </w:pPr>
    </w:p>
    <w:p w14:paraId="78FB7D87" w14:textId="77777777" w:rsidR="00562F87" w:rsidRPr="00E962DB" w:rsidRDefault="00562F87" w:rsidP="0089597C">
      <w:pPr>
        <w:spacing w:line="360" w:lineRule="auto"/>
        <w:jc w:val="both"/>
        <w:textAlignment w:val="baseline"/>
        <w:rPr>
          <w:rFonts w:ascii="Arial" w:hAnsi="Arial" w:cs="Arial"/>
          <w:b/>
          <w:color w:val="000000"/>
          <w:sz w:val="24"/>
        </w:rPr>
      </w:pPr>
      <w:r w:rsidRPr="00E962DB">
        <w:rPr>
          <w:rFonts w:ascii="Arial" w:hAnsi="Arial" w:cs="Arial"/>
          <w:b/>
          <w:color w:val="000000"/>
          <w:sz w:val="24"/>
        </w:rPr>
        <w:t>Examples</w:t>
      </w:r>
    </w:p>
    <w:p w14:paraId="630BABE3" w14:textId="77777777" w:rsidR="00562F87" w:rsidRPr="00E962DB" w:rsidRDefault="00562F87" w:rsidP="0089597C">
      <w:pPr>
        <w:spacing w:line="360" w:lineRule="auto"/>
        <w:jc w:val="both"/>
        <w:textAlignment w:val="baseline"/>
        <w:rPr>
          <w:rFonts w:ascii="Arial" w:hAnsi="Arial" w:cs="Arial"/>
          <w:i/>
          <w:color w:val="000000"/>
          <w:sz w:val="24"/>
        </w:rPr>
      </w:pPr>
      <w:r w:rsidRPr="00E962DB">
        <w:rPr>
          <w:rFonts w:ascii="Arial" w:hAnsi="Arial" w:cs="Arial"/>
          <w:i/>
          <w:color w:val="000000"/>
          <w:sz w:val="24"/>
        </w:rPr>
        <w:t>Example 1</w:t>
      </w:r>
    </w:p>
    <w:p w14:paraId="51CE0971" w14:textId="77777777" w:rsidR="00562F87" w:rsidRPr="00E962DB" w:rsidRDefault="00562F87" w:rsidP="0089597C">
      <w:pPr>
        <w:spacing w:line="360" w:lineRule="auto"/>
        <w:jc w:val="both"/>
        <w:textAlignment w:val="baseline"/>
        <w:rPr>
          <w:rFonts w:ascii="Arial" w:hAnsi="Arial" w:cs="Arial"/>
          <w:color w:val="000000"/>
          <w:sz w:val="24"/>
        </w:rPr>
      </w:pPr>
      <w:r w:rsidRPr="00E962DB">
        <w:rPr>
          <w:rFonts w:ascii="Arial" w:hAnsi="Arial" w:cs="Arial"/>
          <w:color w:val="000000"/>
          <w:sz w:val="24"/>
        </w:rPr>
        <w:t xml:space="preserve">A company whose directors grant a Financial Institution, such as a licensed bank or investment management company, discretionary management powers over the assets of the company will be an Investment Entity as it will be ‘managed by’ that bank or investment management company. </w:t>
      </w:r>
    </w:p>
    <w:p w14:paraId="684D160E" w14:textId="77777777" w:rsidR="00562F87" w:rsidRPr="00E962DB" w:rsidRDefault="00562F87" w:rsidP="0089597C">
      <w:pPr>
        <w:spacing w:line="360" w:lineRule="auto"/>
        <w:jc w:val="both"/>
        <w:textAlignment w:val="baseline"/>
        <w:rPr>
          <w:rFonts w:ascii="Arial" w:hAnsi="Arial" w:cs="Arial"/>
          <w:color w:val="000000"/>
          <w:sz w:val="24"/>
        </w:rPr>
      </w:pPr>
    </w:p>
    <w:p w14:paraId="70540767" w14:textId="77777777" w:rsidR="00562F87" w:rsidRPr="00E962DB" w:rsidRDefault="00562F87" w:rsidP="00EF6A40">
      <w:pPr>
        <w:keepNext/>
        <w:spacing w:line="360" w:lineRule="auto"/>
        <w:jc w:val="both"/>
        <w:textAlignment w:val="baseline"/>
        <w:rPr>
          <w:rFonts w:ascii="Arial" w:hAnsi="Arial" w:cs="Arial"/>
          <w:i/>
          <w:color w:val="000000"/>
          <w:sz w:val="24"/>
        </w:rPr>
      </w:pPr>
      <w:r w:rsidRPr="00E962DB">
        <w:rPr>
          <w:rFonts w:ascii="Arial" w:hAnsi="Arial" w:cs="Arial"/>
          <w:i/>
          <w:color w:val="000000"/>
          <w:sz w:val="24"/>
        </w:rPr>
        <w:t>Example 2</w:t>
      </w:r>
    </w:p>
    <w:p w14:paraId="62ACDEF8" w14:textId="77777777" w:rsidR="00562F87" w:rsidRPr="00E962DB" w:rsidRDefault="00562F87" w:rsidP="0089597C">
      <w:pPr>
        <w:spacing w:line="360" w:lineRule="auto"/>
        <w:jc w:val="both"/>
        <w:textAlignment w:val="baseline"/>
        <w:rPr>
          <w:rFonts w:ascii="Arial" w:hAnsi="Arial" w:cs="Arial"/>
          <w:color w:val="000000"/>
          <w:sz w:val="24"/>
        </w:rPr>
      </w:pPr>
      <w:r w:rsidRPr="00E962DB">
        <w:rPr>
          <w:rFonts w:ascii="Arial" w:hAnsi="Arial" w:cs="Arial"/>
          <w:color w:val="000000"/>
          <w:sz w:val="24"/>
        </w:rPr>
        <w:t>A trust that appoints a Financial Institution as a trustee and grants that Financial Institution discretionary management powers will be an Investment Entity as it will be ‘managed by’ the Financial Institution who is acting as  trustee.</w:t>
      </w:r>
    </w:p>
    <w:p w14:paraId="1CF2C74F" w14:textId="77777777" w:rsidR="00562F87" w:rsidRPr="00E962DB" w:rsidRDefault="00562F87" w:rsidP="0089597C">
      <w:pPr>
        <w:spacing w:line="360" w:lineRule="auto"/>
        <w:jc w:val="both"/>
        <w:textAlignment w:val="baseline"/>
        <w:rPr>
          <w:rFonts w:ascii="Arial" w:hAnsi="Arial" w:cs="Arial"/>
          <w:color w:val="000000"/>
          <w:sz w:val="24"/>
        </w:rPr>
      </w:pPr>
    </w:p>
    <w:p w14:paraId="28D4D4CD" w14:textId="77777777" w:rsidR="00562F87" w:rsidRPr="00E962DB" w:rsidRDefault="00562F87" w:rsidP="0089597C">
      <w:pPr>
        <w:spacing w:line="360" w:lineRule="auto"/>
        <w:jc w:val="both"/>
        <w:textAlignment w:val="baseline"/>
        <w:rPr>
          <w:rFonts w:ascii="Arial" w:hAnsi="Arial" w:cs="Arial"/>
          <w:i/>
          <w:color w:val="000000"/>
          <w:sz w:val="24"/>
        </w:rPr>
      </w:pPr>
      <w:r w:rsidRPr="00E962DB">
        <w:rPr>
          <w:rFonts w:ascii="Arial" w:hAnsi="Arial" w:cs="Arial"/>
          <w:i/>
          <w:color w:val="000000"/>
          <w:sz w:val="24"/>
        </w:rPr>
        <w:t>Example 3</w:t>
      </w:r>
    </w:p>
    <w:p w14:paraId="07F491AB" w14:textId="77777777" w:rsidR="00562F87" w:rsidRPr="00E962DB" w:rsidRDefault="00562F87" w:rsidP="0089597C">
      <w:pPr>
        <w:spacing w:line="360" w:lineRule="auto"/>
        <w:jc w:val="both"/>
        <w:textAlignment w:val="baseline"/>
        <w:rPr>
          <w:rFonts w:ascii="Arial" w:hAnsi="Arial" w:cs="Arial"/>
          <w:color w:val="000000"/>
          <w:sz w:val="24"/>
        </w:rPr>
      </w:pPr>
      <w:r w:rsidRPr="00E962DB">
        <w:rPr>
          <w:rFonts w:ascii="Arial" w:hAnsi="Arial" w:cs="Arial"/>
          <w:color w:val="000000"/>
          <w:sz w:val="24"/>
        </w:rPr>
        <w:t>A trust where the right to direct investments is reserved to the settlor or is vested in an individual investment manager, would not be an Investment Entity as it would not meet the ‘managed by’ test, notwithstanding it may appoint a trustee that is a Financial Institution.</w:t>
      </w:r>
    </w:p>
    <w:p w14:paraId="4C8514C1" w14:textId="77777777" w:rsidR="00562F87" w:rsidRPr="00E962DB" w:rsidRDefault="00562F87" w:rsidP="0089597C">
      <w:pPr>
        <w:spacing w:line="360" w:lineRule="auto"/>
        <w:jc w:val="both"/>
        <w:textAlignment w:val="baseline"/>
        <w:rPr>
          <w:rFonts w:ascii="Arial" w:hAnsi="Arial" w:cs="Arial"/>
          <w:color w:val="000000"/>
          <w:sz w:val="24"/>
        </w:rPr>
      </w:pPr>
    </w:p>
    <w:p w14:paraId="2879FC78" w14:textId="77777777" w:rsidR="00562F87" w:rsidRPr="00E962DB" w:rsidRDefault="00562F87" w:rsidP="0089597C">
      <w:pPr>
        <w:spacing w:line="360" w:lineRule="auto"/>
        <w:jc w:val="both"/>
        <w:textAlignment w:val="baseline"/>
        <w:rPr>
          <w:rFonts w:ascii="Arial" w:hAnsi="Arial" w:cs="Arial"/>
          <w:color w:val="000000"/>
          <w:sz w:val="24"/>
        </w:rPr>
      </w:pPr>
      <w:r w:rsidRPr="00E962DB">
        <w:rPr>
          <w:rFonts w:ascii="Arial" w:hAnsi="Arial" w:cs="Arial"/>
          <w:color w:val="000000"/>
          <w:sz w:val="24"/>
        </w:rPr>
        <w:t>For the purposes of the “managed by” test, a distinction should be made between one entity ‘managing’ another and one entity ‘administering’ another. For instance the following services provided by an entity to another will not constitute the latter entity being ‘managed by’ the former:</w:t>
      </w:r>
    </w:p>
    <w:p w14:paraId="6AD73E97" w14:textId="77777777" w:rsidR="00562F87" w:rsidRPr="00E962DB" w:rsidRDefault="00562F87" w:rsidP="000A196D">
      <w:pPr>
        <w:numPr>
          <w:ilvl w:val="0"/>
          <w:numId w:val="4"/>
        </w:numPr>
        <w:tabs>
          <w:tab w:val="clear" w:pos="432"/>
          <w:tab w:val="left" w:pos="792"/>
        </w:tabs>
        <w:spacing w:line="360" w:lineRule="auto"/>
        <w:ind w:left="792" w:hanging="432"/>
        <w:textAlignment w:val="baseline"/>
        <w:rPr>
          <w:rFonts w:ascii="Arial" w:hAnsi="Arial" w:cs="Arial"/>
          <w:color w:val="000000"/>
          <w:spacing w:val="-3"/>
          <w:sz w:val="24"/>
          <w:lang w:val="en-GB"/>
        </w:rPr>
      </w:pPr>
      <w:r w:rsidRPr="00E962DB">
        <w:rPr>
          <w:rFonts w:ascii="Arial" w:hAnsi="Arial" w:cs="Arial"/>
          <w:color w:val="000000"/>
          <w:spacing w:val="-3"/>
          <w:sz w:val="24"/>
          <w:lang w:val="en-GB"/>
        </w:rPr>
        <w:t>Provision of co-secretary and/or company secretarial services;</w:t>
      </w:r>
    </w:p>
    <w:p w14:paraId="5E890D22" w14:textId="77777777" w:rsidR="00562F87" w:rsidRPr="00E962DB" w:rsidRDefault="00562F87" w:rsidP="000A196D">
      <w:pPr>
        <w:numPr>
          <w:ilvl w:val="0"/>
          <w:numId w:val="4"/>
        </w:numPr>
        <w:tabs>
          <w:tab w:val="clear" w:pos="432"/>
          <w:tab w:val="left" w:pos="792"/>
        </w:tabs>
        <w:spacing w:line="360" w:lineRule="auto"/>
        <w:ind w:left="792" w:hanging="432"/>
        <w:textAlignment w:val="baseline"/>
        <w:rPr>
          <w:rFonts w:ascii="Arial" w:hAnsi="Arial" w:cs="Arial"/>
          <w:color w:val="000000"/>
          <w:spacing w:val="-3"/>
          <w:sz w:val="24"/>
          <w:lang w:val="en-GB"/>
        </w:rPr>
      </w:pPr>
      <w:r w:rsidRPr="00E962DB">
        <w:rPr>
          <w:rFonts w:ascii="Arial" w:hAnsi="Arial" w:cs="Arial"/>
          <w:color w:val="000000"/>
          <w:spacing w:val="-3"/>
          <w:sz w:val="24"/>
          <w:lang w:val="en-GB"/>
        </w:rPr>
        <w:t>Provision of registered office;</w:t>
      </w:r>
    </w:p>
    <w:p w14:paraId="4AC9A8F1" w14:textId="77777777" w:rsidR="00562F87" w:rsidRPr="00E962DB" w:rsidRDefault="00562F87" w:rsidP="000A196D">
      <w:pPr>
        <w:numPr>
          <w:ilvl w:val="0"/>
          <w:numId w:val="4"/>
        </w:numPr>
        <w:tabs>
          <w:tab w:val="clear" w:pos="432"/>
          <w:tab w:val="left" w:pos="792"/>
        </w:tabs>
        <w:spacing w:line="360" w:lineRule="auto"/>
        <w:ind w:left="792" w:hanging="432"/>
        <w:textAlignment w:val="baseline"/>
        <w:rPr>
          <w:rFonts w:ascii="Arial" w:hAnsi="Arial" w:cs="Arial"/>
          <w:color w:val="000000"/>
          <w:spacing w:val="-3"/>
          <w:sz w:val="24"/>
          <w:lang w:val="en-GB"/>
        </w:rPr>
      </w:pPr>
      <w:r w:rsidRPr="00E962DB">
        <w:rPr>
          <w:rFonts w:ascii="Arial" w:hAnsi="Arial" w:cs="Arial"/>
          <w:color w:val="000000"/>
          <w:spacing w:val="-3"/>
          <w:sz w:val="24"/>
          <w:lang w:val="en-GB"/>
        </w:rPr>
        <w:t>Preparation of final financial statements (from company books and records);</w:t>
      </w:r>
    </w:p>
    <w:p w14:paraId="35630C5A" w14:textId="77777777" w:rsidR="00562F87" w:rsidRPr="00E962DB" w:rsidRDefault="00562F87" w:rsidP="000A196D">
      <w:pPr>
        <w:numPr>
          <w:ilvl w:val="0"/>
          <w:numId w:val="4"/>
        </w:numPr>
        <w:tabs>
          <w:tab w:val="clear" w:pos="432"/>
          <w:tab w:val="left" w:pos="792"/>
        </w:tabs>
        <w:spacing w:line="360" w:lineRule="auto"/>
        <w:ind w:left="792" w:hanging="432"/>
        <w:textAlignment w:val="baseline"/>
        <w:rPr>
          <w:rFonts w:ascii="Arial" w:hAnsi="Arial" w:cs="Arial"/>
          <w:color w:val="000000"/>
          <w:spacing w:val="-3"/>
          <w:sz w:val="24"/>
          <w:lang w:val="en-GB"/>
        </w:rPr>
      </w:pPr>
      <w:r w:rsidRPr="00E962DB">
        <w:rPr>
          <w:rFonts w:ascii="Arial" w:hAnsi="Arial" w:cs="Arial"/>
          <w:color w:val="000000"/>
          <w:spacing w:val="-3"/>
          <w:sz w:val="24"/>
          <w:lang w:val="en-GB"/>
        </w:rPr>
        <w:t>Preparation of Tax returns; or</w:t>
      </w:r>
    </w:p>
    <w:p w14:paraId="33DDBAA1" w14:textId="77777777" w:rsidR="00562F87" w:rsidRPr="00E962DB" w:rsidRDefault="00562F87" w:rsidP="000A196D">
      <w:pPr>
        <w:numPr>
          <w:ilvl w:val="0"/>
          <w:numId w:val="4"/>
        </w:numPr>
        <w:tabs>
          <w:tab w:val="clear" w:pos="432"/>
          <w:tab w:val="left" w:pos="792"/>
        </w:tabs>
        <w:spacing w:line="360" w:lineRule="auto"/>
        <w:ind w:left="792" w:hanging="432"/>
        <w:textAlignment w:val="baseline"/>
        <w:rPr>
          <w:rFonts w:ascii="Arial" w:hAnsi="Arial" w:cs="Arial"/>
          <w:color w:val="000000"/>
          <w:sz w:val="24"/>
        </w:rPr>
      </w:pPr>
      <w:r w:rsidRPr="00E962DB">
        <w:rPr>
          <w:rFonts w:ascii="Arial" w:hAnsi="Arial" w:cs="Arial"/>
          <w:color w:val="000000"/>
          <w:spacing w:val="-3"/>
          <w:sz w:val="24"/>
          <w:lang w:val="en-GB"/>
        </w:rPr>
        <w:t>Provision of bookkeeping services.</w:t>
      </w:r>
    </w:p>
    <w:p w14:paraId="5C4D7579" w14:textId="77777777" w:rsidR="00562F87" w:rsidRPr="00E962DB" w:rsidRDefault="00562F87" w:rsidP="0089597C">
      <w:pPr>
        <w:spacing w:line="360" w:lineRule="auto"/>
        <w:jc w:val="both"/>
        <w:textAlignment w:val="baseline"/>
        <w:rPr>
          <w:rFonts w:ascii="Arial" w:hAnsi="Arial" w:cs="Arial"/>
          <w:color w:val="000000"/>
          <w:sz w:val="24"/>
        </w:rPr>
      </w:pPr>
    </w:p>
    <w:p w14:paraId="22A08BA2" w14:textId="77777777" w:rsidR="00562F87" w:rsidRPr="00E962DB" w:rsidRDefault="00562F87" w:rsidP="0089597C">
      <w:pPr>
        <w:spacing w:line="360" w:lineRule="auto"/>
        <w:jc w:val="both"/>
        <w:textAlignment w:val="baseline"/>
        <w:rPr>
          <w:rFonts w:ascii="Arial" w:hAnsi="Arial" w:cs="Arial"/>
          <w:color w:val="000000"/>
          <w:sz w:val="24"/>
        </w:rPr>
      </w:pPr>
      <w:r w:rsidRPr="00E962DB">
        <w:rPr>
          <w:rFonts w:ascii="Arial" w:hAnsi="Arial" w:cs="Arial"/>
          <w:color w:val="000000"/>
          <w:sz w:val="24"/>
        </w:rPr>
        <w:t>For the purposes of clarification and for this Guidance solely, any of the activities such as those defined under the International Business Companies Act, Chapter</w:t>
      </w:r>
      <w:r w:rsidRPr="00E962DB">
        <w:rPr>
          <w:rFonts w:ascii="Arial" w:hAnsi="Arial" w:cs="Arial"/>
          <w:i/>
          <w:color w:val="000000"/>
          <w:sz w:val="24"/>
          <w:lang w:val="en-GB"/>
        </w:rPr>
        <w:t xml:space="preserve"> </w:t>
      </w:r>
      <w:r w:rsidRPr="00E962DB">
        <w:rPr>
          <w:rFonts w:ascii="Arial" w:hAnsi="Arial" w:cs="Arial"/>
          <w:color w:val="000000"/>
          <w:sz w:val="24"/>
          <w:lang w:val="en-GB"/>
        </w:rPr>
        <w:t>309</w:t>
      </w:r>
      <w:r w:rsidRPr="00E962DB">
        <w:rPr>
          <w:rFonts w:ascii="Arial" w:hAnsi="Arial" w:cs="Arial"/>
          <w:color w:val="000000"/>
          <w:sz w:val="24"/>
        </w:rPr>
        <w:t>, as “business of company management” does not constitute managed by an Investment Entity.</w:t>
      </w:r>
    </w:p>
    <w:p w14:paraId="0419962E" w14:textId="77777777" w:rsidR="00562F87" w:rsidRPr="00E962DB" w:rsidRDefault="00562F87" w:rsidP="0089597C">
      <w:pPr>
        <w:spacing w:line="360" w:lineRule="auto"/>
        <w:jc w:val="both"/>
        <w:textAlignment w:val="baseline"/>
        <w:rPr>
          <w:rFonts w:ascii="Arial" w:hAnsi="Arial" w:cs="Arial"/>
          <w:color w:val="000000"/>
          <w:sz w:val="24"/>
        </w:rPr>
      </w:pPr>
    </w:p>
    <w:p w14:paraId="64A30B65" w14:textId="77777777" w:rsidR="00562F87" w:rsidRPr="00E962DB" w:rsidRDefault="00562F87" w:rsidP="00625D0C">
      <w:pPr>
        <w:spacing w:line="360" w:lineRule="auto"/>
        <w:jc w:val="both"/>
        <w:textAlignment w:val="baseline"/>
        <w:rPr>
          <w:rFonts w:ascii="Arial" w:hAnsi="Arial" w:cs="Arial"/>
          <w:sz w:val="24"/>
          <w:szCs w:val="24"/>
          <w:lang w:val="en-GB"/>
        </w:rPr>
      </w:pPr>
      <w:bookmarkStart w:id="141" w:name="_Toc486254429"/>
      <w:bookmarkStart w:id="142" w:name="_Toc486254701"/>
      <w:bookmarkStart w:id="143" w:name="_Toc486255709"/>
      <w:bookmarkStart w:id="144" w:name="_Toc486329137"/>
      <w:r w:rsidRPr="00E962DB">
        <w:rPr>
          <w:rFonts w:ascii="Arial" w:hAnsi="Arial" w:cs="Arial"/>
          <w:color w:val="000000"/>
          <w:sz w:val="24"/>
          <w:szCs w:val="24"/>
        </w:rPr>
        <w:t>Where a Bahamian company’s directors are employees of a Bahamian F</w:t>
      </w:r>
      <w:r w:rsidRPr="00E962DB">
        <w:rPr>
          <w:rFonts w:ascii="Arial" w:hAnsi="Arial" w:cs="Arial"/>
          <w:color w:val="000000"/>
          <w:sz w:val="24"/>
          <w:szCs w:val="24"/>
          <w:lang w:val="en-GB"/>
        </w:rPr>
        <w:t xml:space="preserve">inancial and </w:t>
      </w:r>
      <w:r w:rsidRPr="00E962DB">
        <w:rPr>
          <w:rFonts w:ascii="Arial" w:hAnsi="Arial" w:cs="Arial"/>
          <w:color w:val="000000"/>
          <w:sz w:val="24"/>
          <w:szCs w:val="24"/>
        </w:rPr>
        <w:t>C</w:t>
      </w:r>
      <w:r w:rsidRPr="00E962DB">
        <w:rPr>
          <w:rFonts w:ascii="Arial" w:hAnsi="Arial" w:cs="Arial"/>
          <w:color w:val="000000"/>
          <w:sz w:val="24"/>
          <w:szCs w:val="24"/>
          <w:lang w:val="en-GB"/>
        </w:rPr>
        <w:t xml:space="preserve">orporate </w:t>
      </w:r>
      <w:r w:rsidRPr="00E962DB">
        <w:rPr>
          <w:rFonts w:ascii="Arial" w:hAnsi="Arial" w:cs="Arial"/>
          <w:color w:val="000000"/>
          <w:sz w:val="24"/>
          <w:szCs w:val="24"/>
        </w:rPr>
        <w:t>S</w:t>
      </w:r>
      <w:r w:rsidRPr="00E962DB">
        <w:rPr>
          <w:rFonts w:ascii="Arial" w:hAnsi="Arial" w:cs="Arial"/>
          <w:color w:val="000000"/>
          <w:sz w:val="24"/>
          <w:szCs w:val="24"/>
          <w:lang w:val="en-GB"/>
        </w:rPr>
        <w:t xml:space="preserve">ervice </w:t>
      </w:r>
      <w:r w:rsidRPr="00E962DB">
        <w:rPr>
          <w:rFonts w:ascii="Arial" w:hAnsi="Arial" w:cs="Arial"/>
          <w:color w:val="000000"/>
          <w:sz w:val="24"/>
          <w:szCs w:val="24"/>
        </w:rPr>
        <w:t>P</w:t>
      </w:r>
      <w:r w:rsidRPr="00E962DB">
        <w:rPr>
          <w:rFonts w:ascii="Arial" w:hAnsi="Arial" w:cs="Arial"/>
          <w:color w:val="000000"/>
          <w:sz w:val="24"/>
          <w:szCs w:val="24"/>
          <w:lang w:val="en-GB"/>
        </w:rPr>
        <w:t>rovider (FCSP)</w:t>
      </w:r>
      <w:r w:rsidRPr="00E962DB">
        <w:rPr>
          <w:rFonts w:ascii="Arial" w:hAnsi="Arial" w:cs="Arial"/>
          <w:color w:val="000000"/>
          <w:sz w:val="24"/>
          <w:szCs w:val="24"/>
        </w:rPr>
        <w:t xml:space="preserve"> which itself is a Financial Institution and the Bahamian company is administered by that Bahamian FCSP Financial Institution, the </w:t>
      </w:r>
      <w:r w:rsidRPr="00E962DB">
        <w:rPr>
          <w:rFonts w:ascii="Arial" w:hAnsi="Arial" w:cs="Arial"/>
          <w:sz w:val="24"/>
          <w:szCs w:val="24"/>
        </w:rPr>
        <w:t>Bahamian company may be treated as an Investment Entity itself.</w:t>
      </w:r>
      <w:bookmarkEnd w:id="141"/>
      <w:bookmarkEnd w:id="142"/>
      <w:bookmarkEnd w:id="143"/>
      <w:bookmarkEnd w:id="144"/>
    </w:p>
    <w:p w14:paraId="5DF913BB" w14:textId="77777777" w:rsidR="00562F87" w:rsidRPr="00E962DB" w:rsidRDefault="00562F87" w:rsidP="000D368E">
      <w:pPr>
        <w:pStyle w:val="Heading2"/>
        <w:rPr>
          <w:lang w:val="en-GB"/>
        </w:rPr>
      </w:pPr>
    </w:p>
    <w:p w14:paraId="3776D84F" w14:textId="77777777" w:rsidR="00562F87" w:rsidRPr="00E962DB" w:rsidRDefault="00562F87" w:rsidP="009B2388">
      <w:pPr>
        <w:pStyle w:val="Heading2"/>
        <w:keepNext/>
        <w:numPr>
          <w:ilvl w:val="0"/>
          <w:numId w:val="29"/>
        </w:numPr>
      </w:pPr>
      <w:bookmarkStart w:id="145" w:name="_Toc492290996"/>
      <w:r w:rsidRPr="00E962DB">
        <w:rPr>
          <w:color w:val="4F81BB"/>
          <w:spacing w:val="-2"/>
        </w:rPr>
        <w:t>Financial Institution Acting as Broker</w:t>
      </w:r>
      <w:bookmarkEnd w:id="145"/>
    </w:p>
    <w:p w14:paraId="65550D56" w14:textId="77777777" w:rsidR="00562F87" w:rsidRPr="00E962DB" w:rsidRDefault="00562F87" w:rsidP="009B2388">
      <w:pPr>
        <w:keepNext/>
        <w:spacing w:line="360" w:lineRule="auto"/>
        <w:jc w:val="both"/>
        <w:textAlignment w:val="baseline"/>
        <w:rPr>
          <w:rFonts w:ascii="Arial" w:hAnsi="Arial"/>
          <w:color w:val="000000"/>
          <w:sz w:val="24"/>
          <w:szCs w:val="24"/>
        </w:rPr>
      </w:pPr>
      <w:r w:rsidRPr="00E962DB">
        <w:rPr>
          <w:rFonts w:ascii="Arial" w:hAnsi="Arial"/>
          <w:color w:val="000000"/>
          <w:sz w:val="24"/>
          <w:szCs w:val="24"/>
        </w:rPr>
        <w:t>Where a Financial Institution is acting as an executing broker, and simply executing trading instructions, or receiving and transmitting such instructions to another executing broker, (either through a recognized exchange, multilateral trading facility or non EU equivalent of such, a clearing organization or on a bilateral basis) the Financial Institution will not be required to treat the facilities established for the purposes of executing a trading instruction, or receiving and transmitting such instructions, as a Financial Account under the CRS Act. The Financial Institution acting as custodian will be responsible for performing due diligence procedures and reporting where necessary.</w:t>
      </w:r>
    </w:p>
    <w:p w14:paraId="0AED96C1" w14:textId="77777777" w:rsidR="00562F87" w:rsidRPr="00E962DB" w:rsidRDefault="00562F87" w:rsidP="009B2388">
      <w:pPr>
        <w:keepNext/>
        <w:spacing w:line="360" w:lineRule="auto"/>
        <w:jc w:val="both"/>
        <w:textAlignment w:val="baseline"/>
        <w:rPr>
          <w:rFonts w:ascii="Arial" w:hAnsi="Arial" w:cs="Arial"/>
          <w:color w:val="000000"/>
          <w:sz w:val="24"/>
        </w:rPr>
      </w:pPr>
    </w:p>
    <w:p w14:paraId="57BD1CEA" w14:textId="77777777" w:rsidR="00562F87" w:rsidRPr="00E962DB" w:rsidRDefault="00562F87" w:rsidP="009B2388">
      <w:pPr>
        <w:pStyle w:val="Heading2"/>
        <w:keepNext/>
        <w:numPr>
          <w:ilvl w:val="0"/>
          <w:numId w:val="29"/>
        </w:numPr>
      </w:pPr>
      <w:bookmarkStart w:id="146" w:name="_Toc492290997"/>
      <w:r w:rsidRPr="00E962DB">
        <w:t>Charitable Trusts</w:t>
      </w:r>
      <w:bookmarkEnd w:id="146"/>
    </w:p>
    <w:p w14:paraId="0D0B1CB2" w14:textId="77777777" w:rsidR="00562F87" w:rsidRPr="00E962DB" w:rsidRDefault="00562F87" w:rsidP="000D368E">
      <w:pPr>
        <w:spacing w:line="360" w:lineRule="auto"/>
        <w:jc w:val="both"/>
        <w:textAlignment w:val="baseline"/>
        <w:rPr>
          <w:rFonts w:ascii="Arial" w:hAnsi="Arial" w:cs="Arial"/>
          <w:color w:val="000000"/>
          <w:sz w:val="24"/>
        </w:rPr>
      </w:pPr>
      <w:r w:rsidRPr="00E962DB">
        <w:rPr>
          <w:rFonts w:ascii="Arial" w:hAnsi="Arial" w:cs="Arial"/>
          <w:color w:val="000000"/>
          <w:sz w:val="24"/>
        </w:rPr>
        <w:t xml:space="preserve">A charitable trust will either be a Financial Institution or a NFE. The instances where a charitable trust will be a Financial Institution are limited as it is unlikely that such a trust will be carrying on business for customers. </w:t>
      </w:r>
    </w:p>
    <w:p w14:paraId="7E588A6A" w14:textId="77777777" w:rsidR="00562F87" w:rsidRPr="00E962DB" w:rsidRDefault="00562F87" w:rsidP="000D368E">
      <w:pPr>
        <w:spacing w:line="360" w:lineRule="auto"/>
        <w:jc w:val="both"/>
        <w:textAlignment w:val="baseline"/>
        <w:rPr>
          <w:rFonts w:ascii="Arial" w:hAnsi="Arial" w:cs="Arial"/>
          <w:color w:val="000000"/>
          <w:sz w:val="24"/>
        </w:rPr>
      </w:pPr>
    </w:p>
    <w:p w14:paraId="25C2F5BA" w14:textId="77777777" w:rsidR="00562F87" w:rsidRPr="00E962DB" w:rsidRDefault="00562F87" w:rsidP="000D368E">
      <w:pPr>
        <w:spacing w:line="360" w:lineRule="auto"/>
        <w:jc w:val="both"/>
        <w:textAlignment w:val="baseline"/>
        <w:rPr>
          <w:rFonts w:ascii="Arial" w:hAnsi="Arial" w:cs="Arial"/>
          <w:color w:val="000000"/>
          <w:sz w:val="24"/>
        </w:rPr>
      </w:pPr>
      <w:r w:rsidRPr="00E962DB">
        <w:rPr>
          <w:rFonts w:ascii="Arial" w:hAnsi="Arial" w:cs="Arial"/>
          <w:color w:val="000000"/>
          <w:sz w:val="24"/>
        </w:rPr>
        <w:t>A charitable trust that will qualify as a Financial Institution will likely be confined to circumstances where a charitable trust is a managed Investment Entity. Examples of this include:</w:t>
      </w:r>
    </w:p>
    <w:p w14:paraId="4359A5BB" w14:textId="77777777" w:rsidR="00562F87" w:rsidRPr="00E962DB" w:rsidRDefault="00562F87" w:rsidP="000D368E">
      <w:pPr>
        <w:spacing w:line="360" w:lineRule="auto"/>
        <w:jc w:val="both"/>
        <w:textAlignment w:val="baseline"/>
        <w:rPr>
          <w:rFonts w:ascii="Arial" w:hAnsi="Arial" w:cs="Arial"/>
          <w:color w:val="000000"/>
          <w:sz w:val="24"/>
        </w:rPr>
      </w:pPr>
    </w:p>
    <w:p w14:paraId="6137C382" w14:textId="77777777" w:rsidR="00562F87" w:rsidRPr="00E962DB" w:rsidRDefault="00562F87" w:rsidP="00BF2AC9">
      <w:pPr>
        <w:pStyle w:val="ListParagraph"/>
        <w:numPr>
          <w:ilvl w:val="0"/>
          <w:numId w:val="20"/>
        </w:numPr>
        <w:spacing w:line="360" w:lineRule="auto"/>
        <w:jc w:val="both"/>
        <w:textAlignment w:val="baseline"/>
        <w:rPr>
          <w:rFonts w:ascii="Arial" w:hAnsi="Arial" w:cs="Arial"/>
          <w:color w:val="000000"/>
          <w:sz w:val="24"/>
        </w:rPr>
      </w:pPr>
      <w:r w:rsidRPr="00E962DB">
        <w:rPr>
          <w:rFonts w:ascii="Arial" w:hAnsi="Arial" w:cs="Arial"/>
          <w:color w:val="000000"/>
          <w:sz w:val="24"/>
        </w:rPr>
        <w:t>Where a charitable trust receives its income primarily (50% or more) from investing, reinvesting or trading in financial assets;</w:t>
      </w:r>
    </w:p>
    <w:p w14:paraId="3354447E" w14:textId="77777777" w:rsidR="00562F87" w:rsidRPr="00E962DB" w:rsidRDefault="00562F87" w:rsidP="00BF2AC9">
      <w:pPr>
        <w:pStyle w:val="ListParagraph"/>
        <w:numPr>
          <w:ilvl w:val="0"/>
          <w:numId w:val="20"/>
        </w:numPr>
        <w:spacing w:line="360" w:lineRule="auto"/>
        <w:jc w:val="both"/>
        <w:textAlignment w:val="baseline"/>
        <w:rPr>
          <w:rFonts w:ascii="Arial" w:hAnsi="Arial" w:cs="Arial"/>
          <w:color w:val="000000"/>
          <w:sz w:val="24"/>
        </w:rPr>
      </w:pPr>
      <w:r w:rsidRPr="00E962DB">
        <w:rPr>
          <w:rFonts w:ascii="Arial" w:hAnsi="Arial" w:cs="Arial"/>
          <w:color w:val="000000"/>
          <w:sz w:val="24"/>
        </w:rPr>
        <w:t>Where charitable trust is managed by a Financial Institution (other than a managed investment entity)</w:t>
      </w:r>
    </w:p>
    <w:p w14:paraId="42D46FB0" w14:textId="77777777" w:rsidR="00562F87" w:rsidRPr="00E962DB" w:rsidRDefault="00562F87" w:rsidP="000D368E">
      <w:pPr>
        <w:spacing w:line="360" w:lineRule="auto"/>
        <w:jc w:val="both"/>
        <w:textAlignment w:val="baseline"/>
        <w:rPr>
          <w:rFonts w:ascii="Arial" w:hAnsi="Arial" w:cs="Arial"/>
          <w:color w:val="000000"/>
          <w:sz w:val="24"/>
        </w:rPr>
      </w:pPr>
    </w:p>
    <w:p w14:paraId="6ACD8B93" w14:textId="77777777" w:rsidR="00562F87" w:rsidRPr="00E962DB" w:rsidRDefault="00562F87" w:rsidP="000D368E">
      <w:pPr>
        <w:spacing w:line="360" w:lineRule="auto"/>
        <w:jc w:val="both"/>
        <w:textAlignment w:val="baseline"/>
        <w:rPr>
          <w:rFonts w:ascii="Arial" w:hAnsi="Arial" w:cs="Arial"/>
          <w:color w:val="000000"/>
          <w:sz w:val="24"/>
        </w:rPr>
      </w:pPr>
      <w:r w:rsidRPr="00E962DB">
        <w:rPr>
          <w:rFonts w:ascii="Arial" w:hAnsi="Arial" w:cs="Arial"/>
          <w:color w:val="000000"/>
          <w:sz w:val="24"/>
        </w:rPr>
        <w:t xml:space="preserve">Hence, a charitable trust, or other not for profit association, may fall within the definition of an Investment Entity where it is managed by a Financial Institution and more than fifty percent (50%) of its income comes from investing in Financial Assets. Such a charitable entity will be a Financial Institution, which will require that it reports in respect of any payments it makes to beneficiaries of the charity. </w:t>
      </w:r>
    </w:p>
    <w:p w14:paraId="6A708208" w14:textId="77777777" w:rsidR="00562F87" w:rsidRPr="00E962DB" w:rsidRDefault="00562F87" w:rsidP="000D368E">
      <w:pPr>
        <w:spacing w:line="360" w:lineRule="auto"/>
        <w:jc w:val="both"/>
        <w:textAlignment w:val="baseline"/>
        <w:rPr>
          <w:rFonts w:ascii="Arial" w:hAnsi="Arial" w:cs="Arial"/>
          <w:color w:val="000000"/>
          <w:sz w:val="24"/>
        </w:rPr>
      </w:pPr>
    </w:p>
    <w:p w14:paraId="79396204" w14:textId="77777777" w:rsidR="00562F87" w:rsidRPr="00E962DB" w:rsidRDefault="00562F87" w:rsidP="00BF2AC9">
      <w:pPr>
        <w:spacing w:line="360" w:lineRule="auto"/>
        <w:jc w:val="both"/>
        <w:textAlignment w:val="baseline"/>
        <w:rPr>
          <w:rFonts w:ascii="Arial" w:hAnsi="Arial" w:cs="Arial"/>
          <w:sz w:val="24"/>
          <w:szCs w:val="24"/>
        </w:rPr>
      </w:pPr>
      <w:r w:rsidRPr="00E962DB">
        <w:rPr>
          <w:rFonts w:ascii="Arial" w:hAnsi="Arial" w:cs="Arial"/>
          <w:color w:val="000000"/>
          <w:sz w:val="24"/>
          <w:szCs w:val="24"/>
        </w:rPr>
        <w:t xml:space="preserve">If a charitable trust or other not for profit association receives more than 50 percent (50%) of its income by way of </w:t>
      </w:r>
      <w:r w:rsidRPr="00E962DB">
        <w:rPr>
          <w:rFonts w:ascii="Arial" w:hAnsi="Arial" w:cs="Arial"/>
          <w:sz w:val="24"/>
          <w:szCs w:val="24"/>
        </w:rPr>
        <w:t>gifts, donations,</w:t>
      </w:r>
      <w:r w:rsidRPr="00E962DB">
        <w:rPr>
          <w:rFonts w:ascii="Arial" w:hAnsi="Arial" w:cs="Arial"/>
          <w:color w:val="000000"/>
          <w:sz w:val="24"/>
          <w:szCs w:val="24"/>
        </w:rPr>
        <w:t xml:space="preserve"> </w:t>
      </w:r>
      <w:r w:rsidRPr="00E962DB">
        <w:rPr>
          <w:rFonts w:ascii="Arial" w:hAnsi="Arial" w:cs="Arial"/>
          <w:sz w:val="24"/>
          <w:szCs w:val="24"/>
        </w:rPr>
        <w:t>grants or</w:t>
      </w:r>
      <w:r w:rsidRPr="00E962DB">
        <w:rPr>
          <w:rFonts w:ascii="Arial" w:hAnsi="Arial" w:cs="Arial"/>
          <w:color w:val="000000"/>
          <w:sz w:val="24"/>
          <w:szCs w:val="24"/>
        </w:rPr>
        <w:t xml:space="preserve"> </w:t>
      </w:r>
      <w:r w:rsidRPr="00E962DB">
        <w:rPr>
          <w:rFonts w:ascii="Arial" w:hAnsi="Arial" w:cs="Arial"/>
          <w:sz w:val="24"/>
          <w:szCs w:val="24"/>
        </w:rPr>
        <w:t>legacies,</w:t>
      </w:r>
      <w:r w:rsidRPr="00E962DB">
        <w:rPr>
          <w:rFonts w:ascii="Arial" w:hAnsi="Arial" w:cs="Arial"/>
          <w:color w:val="000000"/>
          <w:sz w:val="24"/>
          <w:szCs w:val="24"/>
        </w:rPr>
        <w:t xml:space="preserve"> </w:t>
      </w:r>
      <w:r w:rsidRPr="00E962DB">
        <w:rPr>
          <w:rFonts w:ascii="Arial" w:hAnsi="Arial" w:cs="Arial"/>
          <w:sz w:val="24"/>
          <w:szCs w:val="24"/>
        </w:rPr>
        <w:t xml:space="preserve">the charitable entity will fall within the definition of Active NFE under the CRS and it will not be a Financial Institution. Hence, it will not be required to report on payments to its beneficiaries or otherwise required </w:t>
      </w:r>
      <w:r w:rsidRPr="00E962DB">
        <w:rPr>
          <w:rFonts w:ascii="Arial" w:hAnsi="Arial" w:cs="Arial"/>
          <w:color w:val="000000"/>
          <w:sz w:val="24"/>
          <w:szCs w:val="24"/>
        </w:rPr>
        <w:t>to provide its Financial Account information</w:t>
      </w:r>
      <w:r w:rsidRPr="00E962DB">
        <w:rPr>
          <w:rFonts w:ascii="Arial" w:hAnsi="Arial" w:cs="Arial"/>
          <w:sz w:val="24"/>
          <w:szCs w:val="24"/>
        </w:rPr>
        <w:t>.</w:t>
      </w:r>
      <w:r w:rsidRPr="00E962DB">
        <w:rPr>
          <w:rFonts w:ascii="Arial" w:hAnsi="Arial" w:cs="Arial"/>
          <w:color w:val="000000"/>
          <w:sz w:val="24"/>
          <w:szCs w:val="24"/>
        </w:rPr>
        <w:t xml:space="preserve"> </w:t>
      </w:r>
      <w:r w:rsidRPr="00E962DB">
        <w:rPr>
          <w:rFonts w:ascii="Arial" w:hAnsi="Arial" w:cs="Arial"/>
          <w:sz w:val="24"/>
          <w:szCs w:val="24"/>
        </w:rPr>
        <w:t xml:space="preserve">A charitable trust that is not a Financial Institution will (by default) generally be an active NFE and therefore not reportable for CRS purposes (and there is no need to “look through” to Controlling Persons compared to passive NFEs). </w:t>
      </w:r>
    </w:p>
    <w:p w14:paraId="29722FFC" w14:textId="77777777" w:rsidR="00714A44" w:rsidRPr="00E962DB" w:rsidRDefault="00714A44" w:rsidP="00714A44">
      <w:pPr>
        <w:autoSpaceDE w:val="0"/>
        <w:autoSpaceDN w:val="0"/>
        <w:adjustRightInd w:val="0"/>
        <w:rPr>
          <w:rFonts w:ascii="Arial" w:hAnsi="Arial" w:cs="Arial"/>
          <w:sz w:val="24"/>
          <w:szCs w:val="24"/>
        </w:rPr>
      </w:pPr>
      <w:r w:rsidRPr="00E962DB">
        <w:rPr>
          <w:rFonts w:ascii="Arial" w:hAnsi="Arial" w:cs="Arial"/>
          <w:sz w:val="24"/>
          <w:szCs w:val="24"/>
        </w:rPr>
        <w:t>Charitable Trusts must also meet the following requirements to be considered a NFE –</w:t>
      </w:r>
    </w:p>
    <w:p w14:paraId="1CA7AC31" w14:textId="77777777" w:rsidR="00714A44" w:rsidRPr="00E962DB" w:rsidRDefault="00714A44" w:rsidP="00E962DB">
      <w:pPr>
        <w:autoSpaceDE w:val="0"/>
        <w:autoSpaceDN w:val="0"/>
        <w:adjustRightInd w:val="0"/>
        <w:spacing w:line="480" w:lineRule="auto"/>
        <w:rPr>
          <w:rFonts w:ascii="Arial" w:hAnsi="Arial" w:cs="Arial"/>
          <w:sz w:val="24"/>
          <w:szCs w:val="24"/>
        </w:rPr>
      </w:pPr>
    </w:p>
    <w:p w14:paraId="67859EE0" w14:textId="77777777" w:rsidR="00714A44" w:rsidRPr="00E962DB" w:rsidRDefault="00714A44"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i) </w:t>
      </w:r>
      <w:r w:rsidRPr="00E962DB">
        <w:rPr>
          <w:rFonts w:ascii="Arial" w:hAnsi="Arial" w:cs="Arial"/>
          <w:sz w:val="24"/>
          <w:szCs w:val="24"/>
        </w:rPr>
        <w:t>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organization operated exclusively for the promotion of social welfare;</w:t>
      </w:r>
    </w:p>
    <w:p w14:paraId="0C2CF7BB" w14:textId="77777777" w:rsidR="00714A44" w:rsidRPr="00E962DB" w:rsidRDefault="00714A44"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ii) </w:t>
      </w:r>
      <w:r w:rsidRPr="00E962DB">
        <w:rPr>
          <w:rFonts w:ascii="Arial" w:hAnsi="Arial" w:cs="Arial"/>
          <w:sz w:val="24"/>
          <w:szCs w:val="24"/>
        </w:rPr>
        <w:t>it is exempt from income tax in its jurisdiction of residence;</w:t>
      </w:r>
    </w:p>
    <w:p w14:paraId="34287A2E" w14:textId="77777777" w:rsidR="00714A44" w:rsidRPr="00E962DB" w:rsidRDefault="00714A44"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iii) </w:t>
      </w:r>
      <w:r w:rsidRPr="00E962DB">
        <w:rPr>
          <w:rFonts w:ascii="Arial" w:hAnsi="Arial" w:cs="Arial"/>
          <w:sz w:val="24"/>
          <w:szCs w:val="24"/>
        </w:rPr>
        <w:t>it has no shareholders or members who have a proprietary or beneficial interest in its income or assets;</w:t>
      </w:r>
    </w:p>
    <w:p w14:paraId="0FE407DD" w14:textId="77777777" w:rsidR="00714A44" w:rsidRPr="00E962DB" w:rsidRDefault="00714A44"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iv) </w:t>
      </w:r>
      <w:r w:rsidRPr="00E962DB">
        <w:rPr>
          <w:rFonts w:ascii="Arial" w:hAnsi="Arial" w:cs="Arial"/>
          <w:sz w:val="24"/>
          <w:szCs w:val="24"/>
        </w:rPr>
        <w:t>the applicable laws of the NFE’s jurisdiction of residence or the NFE’s formation documents do not permit any income or assets of the NFE to be distributed to, or applied for the benefit of, a private person or noncharitable</w:t>
      </w:r>
    </w:p>
    <w:p w14:paraId="3A0E51E6" w14:textId="77777777" w:rsidR="00714A44" w:rsidRPr="00E962DB" w:rsidRDefault="00714A44"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Entity other than pursuant to the conduct of the NFE’s charitable activities, or as payment of reasonable compensation for services rendered, or as payment representing the fair market value of property which the NFE has purchased; and</w:t>
      </w:r>
    </w:p>
    <w:p w14:paraId="5268A943" w14:textId="77777777" w:rsidR="00714A44" w:rsidRPr="00E962DB" w:rsidRDefault="00714A44" w:rsidP="00E962DB">
      <w:pPr>
        <w:autoSpaceDE w:val="0"/>
        <w:autoSpaceDN w:val="0"/>
        <w:adjustRightInd w:val="0"/>
        <w:spacing w:line="480" w:lineRule="auto"/>
        <w:ind w:left="720"/>
        <w:rPr>
          <w:rFonts w:ascii="Arial" w:hAnsi="Arial" w:cs="Arial"/>
          <w:sz w:val="24"/>
          <w:szCs w:val="24"/>
        </w:rPr>
      </w:pPr>
      <w:r w:rsidRPr="00E962DB">
        <w:rPr>
          <w:rFonts w:ascii="Arial" w:hAnsi="Arial" w:cs="Arial"/>
          <w:i/>
          <w:iCs/>
          <w:sz w:val="24"/>
          <w:szCs w:val="24"/>
        </w:rPr>
        <w:t xml:space="preserve">v) </w:t>
      </w:r>
      <w:r w:rsidRPr="00E962DB">
        <w:rPr>
          <w:rFonts w:ascii="Arial" w:hAnsi="Arial" w:cs="Arial"/>
          <w:sz w:val="24"/>
          <w:szCs w:val="24"/>
        </w:rPr>
        <w:t>the applicable laws of the NFE’s jurisdiction of residence</w:t>
      </w:r>
    </w:p>
    <w:p w14:paraId="14325ED6" w14:textId="77777777" w:rsidR="00714A44" w:rsidRPr="00E962DB" w:rsidRDefault="00714A44" w:rsidP="00E962DB">
      <w:pPr>
        <w:autoSpaceDE w:val="0"/>
        <w:autoSpaceDN w:val="0"/>
        <w:adjustRightInd w:val="0"/>
        <w:spacing w:line="480" w:lineRule="auto"/>
        <w:ind w:left="720"/>
        <w:rPr>
          <w:rFonts w:ascii="Arial" w:hAnsi="Arial" w:cs="Arial"/>
          <w:sz w:val="24"/>
          <w:szCs w:val="24"/>
        </w:rPr>
      </w:pPr>
      <w:r w:rsidRPr="00E962DB">
        <w:rPr>
          <w:rFonts w:ascii="Arial" w:hAnsi="Arial" w:cs="Arial"/>
          <w:sz w:val="24"/>
          <w:szCs w:val="24"/>
        </w:rPr>
        <w:t xml:space="preserve">or the NFE’s formation documents require that, upon the NFE’s liquidation or dissolution, all of its assets be distributed to a Governmental Entity or other non-profit organisation, or escheat to the government of the NFE’s jurisdiction of residence or any political subdivision </w:t>
      </w:r>
      <w:r w:rsidR="003C415F" w:rsidRPr="00E962DB">
        <w:rPr>
          <w:rFonts w:ascii="Arial" w:hAnsi="Arial" w:cs="Arial"/>
          <w:sz w:val="24"/>
          <w:szCs w:val="24"/>
        </w:rPr>
        <w:t>10%</w:t>
      </w:r>
      <w:r w:rsidRPr="00E962DB">
        <w:rPr>
          <w:rFonts w:ascii="Arial" w:hAnsi="Arial" w:cs="Arial"/>
          <w:sz w:val="24"/>
          <w:szCs w:val="24"/>
        </w:rPr>
        <w:t>thereof.</w:t>
      </w:r>
    </w:p>
    <w:p w14:paraId="6B6CF601" w14:textId="77777777" w:rsidR="00562F87" w:rsidRPr="00E962DB" w:rsidRDefault="00562F87" w:rsidP="00AA3D62">
      <w:pPr>
        <w:pStyle w:val="Heading1"/>
        <w:jc w:val="center"/>
      </w:pPr>
    </w:p>
    <w:p w14:paraId="4E268264" w14:textId="77777777" w:rsidR="00562F87" w:rsidRPr="00E962DB" w:rsidRDefault="00562F87" w:rsidP="00EF6A40">
      <w:pPr>
        <w:pStyle w:val="Heading1"/>
        <w:keepNext/>
        <w:numPr>
          <w:ilvl w:val="0"/>
          <w:numId w:val="24"/>
        </w:numPr>
        <w:ind w:left="0" w:firstLine="0"/>
        <w:jc w:val="center"/>
      </w:pPr>
      <w:bookmarkStart w:id="147" w:name="_Toc492290998"/>
      <w:r w:rsidRPr="00E962DB">
        <w:t>ANTI-AVOIDANCE &amp; ENFORCEMENT</w:t>
      </w:r>
      <w:bookmarkEnd w:id="147"/>
    </w:p>
    <w:p w14:paraId="36652440" w14:textId="77777777" w:rsidR="00562F87" w:rsidRPr="00E962DB" w:rsidRDefault="00562F87" w:rsidP="00B347BA">
      <w:pPr>
        <w:spacing w:line="360" w:lineRule="auto"/>
        <w:jc w:val="both"/>
        <w:textAlignment w:val="baseline"/>
        <w:rPr>
          <w:rFonts w:ascii="Arial" w:hAnsi="Arial" w:cs="Arial"/>
          <w:sz w:val="24"/>
          <w:szCs w:val="24"/>
        </w:rPr>
      </w:pPr>
      <w:r w:rsidRPr="00E962DB">
        <w:rPr>
          <w:rFonts w:ascii="Arial" w:hAnsi="Arial" w:cs="Arial"/>
          <w:sz w:val="24"/>
          <w:szCs w:val="24"/>
        </w:rPr>
        <w:t>The CRS Act provide that if a Financial Institution enters into any arrangement, the main purpose or one of the main purposes of which is to avoid any obligations imposed by The Act, the arrangement is deemed not to have been entered into by the person and the CRS Regulations are to have effect as if the arrangement had never been in existence. The situations in which the anti-avoidance rule may apply are wide and varied.  You may refer to the Commentaries on the CAA and CRS, specifically the commentary on Section IX, which provides a few examples.</w:t>
      </w:r>
    </w:p>
    <w:p w14:paraId="612C70A2" w14:textId="77777777" w:rsidR="00562F87" w:rsidRPr="00E962DB" w:rsidRDefault="00562F87" w:rsidP="00B347BA">
      <w:pPr>
        <w:spacing w:line="360" w:lineRule="auto"/>
        <w:jc w:val="both"/>
        <w:textAlignment w:val="baseline"/>
        <w:rPr>
          <w:rFonts w:ascii="Arial" w:hAnsi="Arial" w:cs="Arial"/>
          <w:sz w:val="24"/>
          <w:szCs w:val="24"/>
        </w:rPr>
      </w:pPr>
    </w:p>
    <w:p w14:paraId="00E9D856" w14:textId="77777777" w:rsidR="00562F87" w:rsidRPr="00187833" w:rsidRDefault="00562F87" w:rsidP="00B347BA">
      <w:pPr>
        <w:spacing w:line="360" w:lineRule="auto"/>
        <w:jc w:val="both"/>
        <w:textAlignment w:val="baseline"/>
        <w:rPr>
          <w:rFonts w:ascii="Arial" w:hAnsi="Arial" w:cs="Arial"/>
          <w:sz w:val="24"/>
          <w:szCs w:val="24"/>
        </w:rPr>
      </w:pPr>
      <w:r w:rsidRPr="00E962DB">
        <w:rPr>
          <w:rFonts w:ascii="Arial" w:hAnsi="Arial" w:cs="Arial"/>
          <w:sz w:val="24"/>
          <w:szCs w:val="24"/>
        </w:rPr>
        <w:t>The CRS Act sets out offences which Financial Institutions may be liable for where the provisions of the Act or Regulations are contravened.</w:t>
      </w:r>
      <w:r w:rsidRPr="00187833">
        <w:rPr>
          <w:rFonts w:ascii="Arial" w:hAnsi="Arial" w:cs="Arial"/>
          <w:sz w:val="24"/>
          <w:szCs w:val="24"/>
        </w:rPr>
        <w:t xml:space="preserve">  </w:t>
      </w:r>
    </w:p>
    <w:sectPr w:rsidR="00562F87" w:rsidRPr="00187833" w:rsidSect="00744DE3">
      <w:footerReference w:type="default" r:id="rId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852D7" w14:textId="77777777" w:rsidR="006D7998" w:rsidRDefault="006D7998" w:rsidP="006F1F04">
      <w:r>
        <w:separator/>
      </w:r>
    </w:p>
  </w:endnote>
  <w:endnote w:type="continuationSeparator" w:id="0">
    <w:p w14:paraId="75B3379C" w14:textId="77777777" w:rsidR="006D7998" w:rsidRDefault="006D7998" w:rsidP="006F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D74E" w14:textId="77777777" w:rsidR="00056BDC" w:rsidRDefault="00056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400F" w14:textId="4FB1A70D" w:rsidR="00744D35" w:rsidRPr="00A057DD" w:rsidRDefault="00744D35" w:rsidP="00A057DD">
    <w:pPr>
      <w:pStyle w:val="Footer"/>
    </w:pPr>
    <w:r w:rsidRPr="00EA2B75">
      <w:rPr>
        <w:noProof/>
        <w:vanish/>
        <w:sz w:val="12"/>
      </w:rPr>
      <w:t>{</w:t>
    </w:r>
    <w:r w:rsidRPr="00EA2B75">
      <w:rPr>
        <w:noProof/>
        <w:sz w:val="12"/>
      </w:rPr>
      <w:t xml:space="preserve">00460378-5 </w:t>
    </w:r>
    <w:r w:rsidRPr="00EA2B75">
      <w:rPr>
        <w:noProof/>
        <w:vanish/>
        <w:sz w:val="12"/>
      </w:rPr>
      <w:t>}</w:t>
    </w:r>
    <w:r>
      <w:tab/>
    </w:r>
    <w:r>
      <w:fldChar w:fldCharType="begin"/>
    </w:r>
    <w:r>
      <w:instrText xml:space="preserve"> PAGE  \* Arabic  \* MERGEFORMAT </w:instrText>
    </w:r>
    <w:r>
      <w:fldChar w:fldCharType="separate"/>
    </w:r>
    <w:r w:rsidR="00056BDC">
      <w:rPr>
        <w:noProof/>
      </w:rPr>
      <w:t>3</w:t>
    </w:r>
    <w:r>
      <w:rPr>
        <w:noProof/>
      </w:rPr>
      <w:fldChar w:fldCharType="end"/>
    </w:r>
  </w:p>
  <w:p w14:paraId="0EA949B5" w14:textId="77777777" w:rsidR="00744D35" w:rsidRPr="00A057DD" w:rsidRDefault="00744D35" w:rsidP="00BC2525">
    <w:pPr>
      <w:pStyle w:val="Footer"/>
      <w:tabs>
        <w:tab w:val="clear" w:pos="4680"/>
        <w:tab w:val="clear" w:pos="9360"/>
        <w:tab w:val="left" w:pos="33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472" w14:textId="77777777" w:rsidR="00744D35" w:rsidRPr="00A537A8" w:rsidRDefault="00744D35" w:rsidP="00A057DD">
    <w:pPr>
      <w:pStyle w:val="Footer"/>
      <w:rPr>
        <w:b/>
        <w:sz w:val="20"/>
        <w:szCs w:val="20"/>
      </w:rPr>
    </w:pPr>
    <w:r w:rsidRPr="00EA2B75">
      <w:rPr>
        <w:b/>
        <w:noProof/>
        <w:vanish/>
        <w:sz w:val="12"/>
        <w:szCs w:val="20"/>
      </w:rPr>
      <w:t>{</w:t>
    </w:r>
    <w:r w:rsidRPr="00EA2B75">
      <w:rPr>
        <w:b/>
        <w:noProof/>
        <w:sz w:val="12"/>
        <w:szCs w:val="20"/>
      </w:rPr>
      <w:t xml:space="preserve">00460378-5 </w:t>
    </w:r>
    <w:r w:rsidRPr="00EA2B75">
      <w:rPr>
        <w:b/>
        <w:noProof/>
        <w:vanish/>
        <w:sz w:val="12"/>
        <w:szCs w:val="20"/>
      </w:rPr>
      <w:t>}</w:t>
    </w:r>
    <w:r w:rsidRPr="00A537A8">
      <w:rPr>
        <w:b/>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26948" w14:textId="086A20E4" w:rsidR="00744D35" w:rsidRPr="00A057DD" w:rsidRDefault="00744D35" w:rsidP="00A057DD">
    <w:pPr>
      <w:pStyle w:val="Footer"/>
    </w:pPr>
    <w:r w:rsidRPr="00EA2B75">
      <w:rPr>
        <w:noProof/>
        <w:vanish/>
        <w:sz w:val="12"/>
      </w:rPr>
      <w:t>{</w:t>
    </w:r>
    <w:r w:rsidRPr="00EA2B75">
      <w:rPr>
        <w:noProof/>
        <w:sz w:val="12"/>
      </w:rPr>
      <w:t xml:space="preserve">00460378-5 </w:t>
    </w:r>
    <w:r>
      <w:rPr>
        <w:noProof/>
        <w:sz w:val="12"/>
      </w:rPr>
      <w:t>AUGUST 15</w:t>
    </w:r>
    <w:r w:rsidRPr="007C7791">
      <w:rPr>
        <w:noProof/>
        <w:sz w:val="12"/>
        <w:vertAlign w:val="superscript"/>
      </w:rPr>
      <w:t>TH</w:t>
    </w:r>
    <w:r>
      <w:rPr>
        <w:noProof/>
        <w:sz w:val="12"/>
      </w:rPr>
      <w:t xml:space="preserve"> MEETING</w:t>
    </w:r>
    <w:r w:rsidRPr="00EA2B75">
      <w:rPr>
        <w:noProof/>
        <w:vanish/>
        <w:sz w:val="12"/>
      </w:rPr>
      <w:t>}</w:t>
    </w:r>
    <w:r>
      <w:tab/>
    </w:r>
    <w:r>
      <w:rPr>
        <w:noProof/>
      </w:rPr>
      <w:fldChar w:fldCharType="begin"/>
    </w:r>
    <w:r>
      <w:rPr>
        <w:noProof/>
      </w:rPr>
      <w:instrText xml:space="preserve"> PAGE   \* MERGEFORMAT </w:instrText>
    </w:r>
    <w:r>
      <w:rPr>
        <w:noProof/>
      </w:rPr>
      <w:fldChar w:fldCharType="separate"/>
    </w:r>
    <w:r w:rsidR="00056BDC">
      <w:rPr>
        <w:noProof/>
      </w:rPr>
      <w:t>14</w:t>
    </w:r>
    <w:r>
      <w:rPr>
        <w:noProof/>
      </w:rPr>
      <w:fldChar w:fldCharType="end"/>
    </w:r>
  </w:p>
  <w:p w14:paraId="3A7DBA03" w14:textId="77777777" w:rsidR="00744D35" w:rsidRPr="00A057DD" w:rsidRDefault="00744D35" w:rsidP="006F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8B8EC" w14:textId="77777777" w:rsidR="006D7998" w:rsidRDefault="006D7998" w:rsidP="006F1F04">
      <w:pPr>
        <w:rPr>
          <w:noProof/>
        </w:rPr>
      </w:pPr>
      <w:r>
        <w:rPr>
          <w:noProof/>
        </w:rPr>
        <w:separator/>
      </w:r>
    </w:p>
  </w:footnote>
  <w:footnote w:type="continuationSeparator" w:id="0">
    <w:p w14:paraId="406C29D2" w14:textId="77777777" w:rsidR="006D7998" w:rsidRDefault="006D7998" w:rsidP="006F1F04">
      <w:r>
        <w:continuationSeparator/>
      </w:r>
    </w:p>
  </w:footnote>
  <w:footnote w:id="1">
    <w:p w14:paraId="569BBE15" w14:textId="77777777" w:rsidR="00744D35" w:rsidRDefault="00744D35" w:rsidP="008C631A">
      <w:pPr>
        <w:pStyle w:val="FootnoteText"/>
      </w:pPr>
      <w:r>
        <w:rPr>
          <w:rStyle w:val="FootnoteReference"/>
        </w:rPr>
        <w:footnoteRef/>
      </w:r>
      <w:r>
        <w:t xml:space="preserve"> </w:t>
      </w:r>
      <w:r w:rsidRPr="008C631A">
        <w:t>Reg. 5</w:t>
      </w:r>
      <w:r>
        <w:t>(3)</w:t>
      </w:r>
      <w:r w:rsidRPr="008C631A">
        <w:t xml:space="preserve"> of the CRS Regulations incorporate</w:t>
      </w:r>
      <w:r>
        <w:t>s paragraphs A-E of Section 1 of CRS but not p</w:t>
      </w:r>
      <w:r w:rsidRPr="008C631A">
        <w:t>aragraph F of Section</w:t>
      </w:r>
      <w:r>
        <w:t> </w:t>
      </w:r>
      <w:r w:rsidRPr="008C631A">
        <w:t>I</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A421" w14:textId="77777777" w:rsidR="00056BDC" w:rsidRDefault="00056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7BBBD" w14:textId="77777777" w:rsidR="00744D35" w:rsidRDefault="006D7998">
    <w:pPr>
      <w:pStyle w:val="Header"/>
    </w:pPr>
    <w:r>
      <w:rPr>
        <w:noProof/>
      </w:rPr>
      <w:pict w14:anchorId="4A37B8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7CDD" w14:textId="72DEADE0" w:rsidR="00744D35" w:rsidRPr="00056BDC" w:rsidRDefault="00056BDC" w:rsidP="00056BDC">
    <w:pPr>
      <w:pStyle w:val="Header"/>
      <w:rPr>
        <w:color w:val="FF0000"/>
      </w:rPr>
    </w:pPr>
    <w:r w:rsidRPr="00056BDC">
      <w:rPr>
        <w:color w:val="FF0000"/>
      </w:rPr>
      <w:t xml:space="preserve">DRAFT </w:t>
    </w:r>
    <w:r>
      <w:rPr>
        <w:color w:val="FF0000"/>
      </w:rPr>
      <w:t xml:space="preserve">CRS </w:t>
    </w:r>
    <w:bookmarkStart w:id="0" w:name="_GoBack"/>
    <w:bookmarkEnd w:id="0"/>
    <w:r w:rsidRPr="00056BDC">
      <w:rPr>
        <w:color w:val="FF0000"/>
      </w:rPr>
      <w:t>GUIDANCE NOTES</w:t>
    </w:r>
    <w:r>
      <w:rPr>
        <w:color w:val="FF0000"/>
      </w:rPr>
      <w:t xml:space="preserve"> – November 16</w:t>
    </w:r>
    <w:r w:rsidRPr="00056BDC">
      <w:rPr>
        <w:color w:val="FF0000"/>
        <w:vertAlign w:val="superscript"/>
      </w:rPr>
      <w:t>th</w:t>
    </w:r>
    <w:r>
      <w:rPr>
        <w:color w:val="FF0000"/>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896"/>
    <w:multiLevelType w:val="multilevel"/>
    <w:tmpl w:val="8C2868E0"/>
    <w:lvl w:ilvl="0">
      <w:start w:val="1"/>
      <w:numFmt w:val="bullet"/>
      <w:lvlText w:val="·"/>
      <w:lvlJc w:val="left"/>
      <w:pPr>
        <w:tabs>
          <w:tab w:val="left" w:pos="360"/>
        </w:tabs>
        <w:ind w:left="720"/>
      </w:pPr>
      <w:rPr>
        <w:rFonts w:ascii="Symbol" w:eastAsia="Times New Roman" w:hAnsi="Symbol"/>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4513ACB"/>
    <w:multiLevelType w:val="hybridMultilevel"/>
    <w:tmpl w:val="6BB8D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C924C0"/>
    <w:multiLevelType w:val="hybridMultilevel"/>
    <w:tmpl w:val="B3E618BC"/>
    <w:lvl w:ilvl="0" w:tplc="2D404F1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9146C93"/>
    <w:multiLevelType w:val="hybridMultilevel"/>
    <w:tmpl w:val="7F509F54"/>
    <w:lvl w:ilvl="0" w:tplc="E65287F6">
      <w:start w:val="1"/>
      <w:numFmt w:val="upperLetter"/>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9844AC9"/>
    <w:multiLevelType w:val="multilevel"/>
    <w:tmpl w:val="9C5C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56CBB"/>
    <w:multiLevelType w:val="multilevel"/>
    <w:tmpl w:val="1986A232"/>
    <w:lvl w:ilvl="0">
      <w:start w:val="10"/>
      <w:numFmt w:val="decimal"/>
      <w:lvlText w:val="%1."/>
      <w:lvlJc w:val="left"/>
      <w:pPr>
        <w:tabs>
          <w:tab w:val="left" w:pos="576"/>
        </w:tabs>
        <w:ind w:left="720"/>
      </w:pPr>
      <w:rPr>
        <w:rFonts w:ascii="Arial" w:eastAsia="Times New Roman" w:hAnsi="Arial"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3491E39"/>
    <w:multiLevelType w:val="hybridMultilevel"/>
    <w:tmpl w:val="35B6E83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18193E14"/>
    <w:multiLevelType w:val="hybridMultilevel"/>
    <w:tmpl w:val="72C4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01864"/>
    <w:multiLevelType w:val="hybridMultilevel"/>
    <w:tmpl w:val="D438F0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2AE364D"/>
    <w:multiLevelType w:val="hybridMultilevel"/>
    <w:tmpl w:val="B9C42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89068BE"/>
    <w:multiLevelType w:val="hybridMultilevel"/>
    <w:tmpl w:val="06C885F6"/>
    <w:lvl w:ilvl="0" w:tplc="E65287F6">
      <w:start w:val="1"/>
      <w:numFmt w:val="upperLetter"/>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E064EB9"/>
    <w:multiLevelType w:val="hybridMultilevel"/>
    <w:tmpl w:val="42A29F68"/>
    <w:lvl w:ilvl="0" w:tplc="59E0684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3544D8A"/>
    <w:multiLevelType w:val="hybridMultilevel"/>
    <w:tmpl w:val="F81CE1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4BD001E"/>
    <w:multiLevelType w:val="hybridMultilevel"/>
    <w:tmpl w:val="E87C60B0"/>
    <w:lvl w:ilvl="0" w:tplc="BF6C384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5386DDA"/>
    <w:multiLevelType w:val="hybridMultilevel"/>
    <w:tmpl w:val="CF18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D60FA"/>
    <w:multiLevelType w:val="hybridMultilevel"/>
    <w:tmpl w:val="7F509F54"/>
    <w:lvl w:ilvl="0" w:tplc="E65287F6">
      <w:start w:val="1"/>
      <w:numFmt w:val="upperLetter"/>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4F6FEA"/>
    <w:multiLevelType w:val="hybridMultilevel"/>
    <w:tmpl w:val="26306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FA61642"/>
    <w:multiLevelType w:val="hybridMultilevel"/>
    <w:tmpl w:val="F4A29182"/>
    <w:lvl w:ilvl="0" w:tplc="A87AFB5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40EE2FE7"/>
    <w:multiLevelType w:val="hybridMultilevel"/>
    <w:tmpl w:val="9612B956"/>
    <w:lvl w:ilvl="0" w:tplc="09F44484">
      <w:start w:val="1"/>
      <w:numFmt w:val="lowerLetter"/>
      <w:lvlText w:val="(%1)"/>
      <w:lvlJc w:val="left"/>
      <w:pPr>
        <w:ind w:left="720" w:hanging="360"/>
      </w:pPr>
      <w:rPr>
        <w:rFonts w:cs="Times New Roman" w:hint="default"/>
      </w:rPr>
    </w:lvl>
    <w:lvl w:ilvl="1" w:tplc="209EB62C">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8A81288"/>
    <w:multiLevelType w:val="hybridMultilevel"/>
    <w:tmpl w:val="9612B956"/>
    <w:lvl w:ilvl="0" w:tplc="09F44484">
      <w:start w:val="1"/>
      <w:numFmt w:val="lowerLetter"/>
      <w:lvlText w:val="(%1)"/>
      <w:lvlJc w:val="left"/>
      <w:pPr>
        <w:ind w:left="720" w:hanging="360"/>
      </w:pPr>
      <w:rPr>
        <w:rFonts w:cs="Times New Roman" w:hint="default"/>
      </w:rPr>
    </w:lvl>
    <w:lvl w:ilvl="1" w:tplc="209EB62C">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A2B2394"/>
    <w:multiLevelType w:val="hybridMultilevel"/>
    <w:tmpl w:val="7F509F54"/>
    <w:lvl w:ilvl="0" w:tplc="E65287F6">
      <w:start w:val="1"/>
      <w:numFmt w:val="upperLetter"/>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B0C571C"/>
    <w:multiLevelType w:val="hybridMultilevel"/>
    <w:tmpl w:val="19180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8B563F7"/>
    <w:multiLevelType w:val="multilevel"/>
    <w:tmpl w:val="8F6222D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5E2A479D"/>
    <w:multiLevelType w:val="hybridMultilevel"/>
    <w:tmpl w:val="4D32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40AD5"/>
    <w:multiLevelType w:val="hybridMultilevel"/>
    <w:tmpl w:val="7F509F54"/>
    <w:lvl w:ilvl="0" w:tplc="E65287F6">
      <w:start w:val="1"/>
      <w:numFmt w:val="upperLetter"/>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56929CE"/>
    <w:multiLevelType w:val="hybridMultilevel"/>
    <w:tmpl w:val="E294D00A"/>
    <w:lvl w:ilvl="0" w:tplc="04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69A07E7A"/>
    <w:multiLevelType w:val="hybridMultilevel"/>
    <w:tmpl w:val="8440EB8A"/>
    <w:lvl w:ilvl="0" w:tplc="A8C8793C">
      <w:start w:val="1"/>
      <w:numFmt w:val="upperRoman"/>
      <w:lvlText w:val="%1."/>
      <w:lvlJc w:val="righ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9A16B9DA">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B25361C"/>
    <w:multiLevelType w:val="hybridMultilevel"/>
    <w:tmpl w:val="7F509F54"/>
    <w:lvl w:ilvl="0" w:tplc="E65287F6">
      <w:start w:val="1"/>
      <w:numFmt w:val="upperLetter"/>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CED0994"/>
    <w:multiLevelType w:val="hybridMultilevel"/>
    <w:tmpl w:val="263069D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D15063C"/>
    <w:multiLevelType w:val="hybridMultilevel"/>
    <w:tmpl w:val="7F509F54"/>
    <w:lvl w:ilvl="0" w:tplc="E65287F6">
      <w:start w:val="1"/>
      <w:numFmt w:val="upperLetter"/>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F162AB"/>
    <w:multiLevelType w:val="multilevel"/>
    <w:tmpl w:val="51D6E168"/>
    <w:lvl w:ilvl="0">
      <w:start w:val="1"/>
      <w:numFmt w:val="bullet"/>
      <w:lvlText w:val="·"/>
      <w:lvlJc w:val="left"/>
      <w:pPr>
        <w:tabs>
          <w:tab w:val="left" w:pos="432"/>
        </w:tabs>
        <w:ind w:left="720"/>
      </w:pPr>
      <w:rPr>
        <w:rFonts w:ascii="Symbol" w:eastAsia="Times New Roman" w:hAnsi="Symbol"/>
        <w:i w:val="0"/>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6142C0B"/>
    <w:multiLevelType w:val="hybridMultilevel"/>
    <w:tmpl w:val="7F509F54"/>
    <w:lvl w:ilvl="0" w:tplc="E65287F6">
      <w:start w:val="1"/>
      <w:numFmt w:val="upperLetter"/>
      <w:lvlText w:val="%1."/>
      <w:lvlJc w:val="left"/>
      <w:pPr>
        <w:ind w:left="72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9B84AEE"/>
    <w:multiLevelType w:val="hybridMultilevel"/>
    <w:tmpl w:val="3482B3E4"/>
    <w:lvl w:ilvl="0" w:tplc="211C74E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15:restartNumberingAfterBreak="0">
    <w:nsid w:val="7CE10617"/>
    <w:multiLevelType w:val="hybridMultilevel"/>
    <w:tmpl w:val="D0AA89FE"/>
    <w:lvl w:ilvl="0" w:tplc="211C74E6">
      <w:start w:val="2"/>
      <w:numFmt w:val="decimal"/>
      <w:lvlText w:val="%1."/>
      <w:lvlJc w:val="left"/>
      <w:pPr>
        <w:ind w:left="2160" w:hanging="360"/>
      </w:pPr>
      <w:rPr>
        <w:rFonts w:cs="Times New Roman" w:hint="default"/>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34" w15:restartNumberingAfterBreak="0">
    <w:nsid w:val="7D370B00"/>
    <w:multiLevelType w:val="multilevel"/>
    <w:tmpl w:val="86E0BB2C"/>
    <w:lvl w:ilvl="0">
      <w:start w:val="1"/>
      <w:numFmt w:val="decimal"/>
      <w:lvlText w:val="%1."/>
      <w:lvlJc w:val="left"/>
      <w:pPr>
        <w:tabs>
          <w:tab w:val="left" w:pos="648"/>
        </w:tabs>
        <w:ind w:left="720"/>
      </w:pPr>
      <w:rPr>
        <w:rFonts w:ascii="Arial" w:eastAsia="Times New Roman" w:hAnsi="Arial"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4"/>
  </w:num>
  <w:num w:numId="3">
    <w:abstractNumId w:val="5"/>
  </w:num>
  <w:num w:numId="4">
    <w:abstractNumId w:val="30"/>
  </w:num>
  <w:num w:numId="5">
    <w:abstractNumId w:val="14"/>
  </w:num>
  <w:num w:numId="6">
    <w:abstractNumId w:val="32"/>
  </w:num>
  <w:num w:numId="7">
    <w:abstractNumId w:val="33"/>
  </w:num>
  <w:num w:numId="8">
    <w:abstractNumId w:val="19"/>
  </w:num>
  <w:num w:numId="9">
    <w:abstractNumId w:val="2"/>
  </w:num>
  <w:num w:numId="10">
    <w:abstractNumId w:val="4"/>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 w:numId="19">
    <w:abstractNumId w:val="12"/>
  </w:num>
  <w:num w:numId="20">
    <w:abstractNumId w:val="21"/>
  </w:num>
  <w:num w:numId="21">
    <w:abstractNumId w:val="1"/>
  </w:num>
  <w:num w:numId="22">
    <w:abstractNumId w:val="27"/>
  </w:num>
  <w:num w:numId="23">
    <w:abstractNumId w:val="10"/>
  </w:num>
  <w:num w:numId="24">
    <w:abstractNumId w:val="26"/>
  </w:num>
  <w:num w:numId="25">
    <w:abstractNumId w:val="3"/>
  </w:num>
  <w:num w:numId="26">
    <w:abstractNumId w:val="29"/>
  </w:num>
  <w:num w:numId="27">
    <w:abstractNumId w:val="20"/>
  </w:num>
  <w:num w:numId="28">
    <w:abstractNumId w:val="24"/>
  </w:num>
  <w:num w:numId="29">
    <w:abstractNumId w:val="31"/>
  </w:num>
  <w:num w:numId="30">
    <w:abstractNumId w:val="23"/>
  </w:num>
  <w:num w:numId="31">
    <w:abstractNumId w:val="7"/>
  </w:num>
  <w:num w:numId="32">
    <w:abstractNumId w:val="15"/>
  </w:num>
  <w:num w:numId="33">
    <w:abstractNumId w:val="11"/>
  </w:num>
  <w:num w:numId="34">
    <w:abstractNumId w:val="18"/>
  </w:num>
  <w:num w:numId="35">
    <w:abstractNumId w:val="8"/>
  </w:num>
  <w:num w:numId="36">
    <w:abstractNumId w:val="6"/>
  </w:num>
  <w:num w:numId="37">
    <w:abstractNumId w:val="16"/>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F0"/>
    <w:rsid w:val="00015183"/>
    <w:rsid w:val="00037D09"/>
    <w:rsid w:val="000418E5"/>
    <w:rsid w:val="00042784"/>
    <w:rsid w:val="000427B7"/>
    <w:rsid w:val="0005479B"/>
    <w:rsid w:val="0005678F"/>
    <w:rsid w:val="00056BDC"/>
    <w:rsid w:val="000626EC"/>
    <w:rsid w:val="00065175"/>
    <w:rsid w:val="00065CD7"/>
    <w:rsid w:val="00074A66"/>
    <w:rsid w:val="000821DF"/>
    <w:rsid w:val="0008628A"/>
    <w:rsid w:val="00086AB2"/>
    <w:rsid w:val="000921EF"/>
    <w:rsid w:val="000A196D"/>
    <w:rsid w:val="000A73DD"/>
    <w:rsid w:val="000B21F0"/>
    <w:rsid w:val="000C7694"/>
    <w:rsid w:val="000D368E"/>
    <w:rsid w:val="000D6015"/>
    <w:rsid w:val="000E022F"/>
    <w:rsid w:val="000F01A8"/>
    <w:rsid w:val="000F05B9"/>
    <w:rsid w:val="001014D6"/>
    <w:rsid w:val="0010564C"/>
    <w:rsid w:val="00111DA0"/>
    <w:rsid w:val="001200EB"/>
    <w:rsid w:val="00130A52"/>
    <w:rsid w:val="001355B7"/>
    <w:rsid w:val="00152CF5"/>
    <w:rsid w:val="00161E3B"/>
    <w:rsid w:val="00166C60"/>
    <w:rsid w:val="00173E5F"/>
    <w:rsid w:val="00177E8A"/>
    <w:rsid w:val="00187833"/>
    <w:rsid w:val="00187EEB"/>
    <w:rsid w:val="001A1536"/>
    <w:rsid w:val="001B06C3"/>
    <w:rsid w:val="001D4237"/>
    <w:rsid w:val="001D5B91"/>
    <w:rsid w:val="001E28E4"/>
    <w:rsid w:val="001E74A3"/>
    <w:rsid w:val="001F0157"/>
    <w:rsid w:val="001F03C5"/>
    <w:rsid w:val="00207F68"/>
    <w:rsid w:val="00210CE3"/>
    <w:rsid w:val="002114DA"/>
    <w:rsid w:val="00214F90"/>
    <w:rsid w:val="00216F2D"/>
    <w:rsid w:val="00221A18"/>
    <w:rsid w:val="00233499"/>
    <w:rsid w:val="0024303D"/>
    <w:rsid w:val="00253A4B"/>
    <w:rsid w:val="002603AA"/>
    <w:rsid w:val="00262EF4"/>
    <w:rsid w:val="00266E50"/>
    <w:rsid w:val="0027145B"/>
    <w:rsid w:val="002732D0"/>
    <w:rsid w:val="002743EB"/>
    <w:rsid w:val="002766EA"/>
    <w:rsid w:val="002843C5"/>
    <w:rsid w:val="00284905"/>
    <w:rsid w:val="002A6DB8"/>
    <w:rsid w:val="002B1C00"/>
    <w:rsid w:val="002B25A8"/>
    <w:rsid w:val="002C0705"/>
    <w:rsid w:val="002D2DDD"/>
    <w:rsid w:val="002D356C"/>
    <w:rsid w:val="002D4BBB"/>
    <w:rsid w:val="002D5C09"/>
    <w:rsid w:val="002E098C"/>
    <w:rsid w:val="002E173F"/>
    <w:rsid w:val="002E219F"/>
    <w:rsid w:val="002F62A5"/>
    <w:rsid w:val="003019C2"/>
    <w:rsid w:val="00306124"/>
    <w:rsid w:val="003131CD"/>
    <w:rsid w:val="00322283"/>
    <w:rsid w:val="00345B87"/>
    <w:rsid w:val="00345D58"/>
    <w:rsid w:val="0035549A"/>
    <w:rsid w:val="00370361"/>
    <w:rsid w:val="00370906"/>
    <w:rsid w:val="00370C9D"/>
    <w:rsid w:val="00372328"/>
    <w:rsid w:val="003747CD"/>
    <w:rsid w:val="003808C3"/>
    <w:rsid w:val="00382589"/>
    <w:rsid w:val="0039167E"/>
    <w:rsid w:val="00397E86"/>
    <w:rsid w:val="003A4723"/>
    <w:rsid w:val="003B06CD"/>
    <w:rsid w:val="003B0C31"/>
    <w:rsid w:val="003B67D1"/>
    <w:rsid w:val="003B7E0C"/>
    <w:rsid w:val="003C3839"/>
    <w:rsid w:val="003C415F"/>
    <w:rsid w:val="003C6857"/>
    <w:rsid w:val="003D0836"/>
    <w:rsid w:val="003E2847"/>
    <w:rsid w:val="003E332F"/>
    <w:rsid w:val="003E5D50"/>
    <w:rsid w:val="003F0986"/>
    <w:rsid w:val="003F7279"/>
    <w:rsid w:val="004012CD"/>
    <w:rsid w:val="00406CAF"/>
    <w:rsid w:val="004142A3"/>
    <w:rsid w:val="00416F2E"/>
    <w:rsid w:val="004227EC"/>
    <w:rsid w:val="00466AB0"/>
    <w:rsid w:val="00497652"/>
    <w:rsid w:val="004A37F0"/>
    <w:rsid w:val="004A496A"/>
    <w:rsid w:val="004A5051"/>
    <w:rsid w:val="004B281D"/>
    <w:rsid w:val="004E2E3B"/>
    <w:rsid w:val="00530346"/>
    <w:rsid w:val="00545570"/>
    <w:rsid w:val="005460BE"/>
    <w:rsid w:val="00551E93"/>
    <w:rsid w:val="0055695B"/>
    <w:rsid w:val="00562F87"/>
    <w:rsid w:val="00567165"/>
    <w:rsid w:val="00587E6B"/>
    <w:rsid w:val="005A2D62"/>
    <w:rsid w:val="005A731B"/>
    <w:rsid w:val="005C0583"/>
    <w:rsid w:val="005D0659"/>
    <w:rsid w:val="005D5418"/>
    <w:rsid w:val="005E7E0E"/>
    <w:rsid w:val="005F1DD0"/>
    <w:rsid w:val="00615514"/>
    <w:rsid w:val="00625D0C"/>
    <w:rsid w:val="00633A3E"/>
    <w:rsid w:val="00644F6F"/>
    <w:rsid w:val="0065280F"/>
    <w:rsid w:val="0066099B"/>
    <w:rsid w:val="006614F1"/>
    <w:rsid w:val="006724F9"/>
    <w:rsid w:val="0067361D"/>
    <w:rsid w:val="006759C8"/>
    <w:rsid w:val="00680034"/>
    <w:rsid w:val="00694FC8"/>
    <w:rsid w:val="006A1694"/>
    <w:rsid w:val="006A7666"/>
    <w:rsid w:val="006B054D"/>
    <w:rsid w:val="006C5EC6"/>
    <w:rsid w:val="006D3E9F"/>
    <w:rsid w:val="006D7998"/>
    <w:rsid w:val="006F1E23"/>
    <w:rsid w:val="006F1F04"/>
    <w:rsid w:val="00705D39"/>
    <w:rsid w:val="00714A44"/>
    <w:rsid w:val="007178D9"/>
    <w:rsid w:val="007258E7"/>
    <w:rsid w:val="00731D88"/>
    <w:rsid w:val="00744D35"/>
    <w:rsid w:val="00744DE3"/>
    <w:rsid w:val="00750039"/>
    <w:rsid w:val="007644CD"/>
    <w:rsid w:val="00770E39"/>
    <w:rsid w:val="00774E4E"/>
    <w:rsid w:val="00775724"/>
    <w:rsid w:val="00781E4A"/>
    <w:rsid w:val="00787D20"/>
    <w:rsid w:val="007A13EA"/>
    <w:rsid w:val="007A3F9A"/>
    <w:rsid w:val="007B01E3"/>
    <w:rsid w:val="007B4C6B"/>
    <w:rsid w:val="007B6021"/>
    <w:rsid w:val="007C0506"/>
    <w:rsid w:val="007C3F09"/>
    <w:rsid w:val="007C61B7"/>
    <w:rsid w:val="007C7791"/>
    <w:rsid w:val="007D775C"/>
    <w:rsid w:val="007E13E8"/>
    <w:rsid w:val="007E4AE1"/>
    <w:rsid w:val="00805833"/>
    <w:rsid w:val="008065E2"/>
    <w:rsid w:val="0081219B"/>
    <w:rsid w:val="00816814"/>
    <w:rsid w:val="0084498F"/>
    <w:rsid w:val="00884E7A"/>
    <w:rsid w:val="0089597C"/>
    <w:rsid w:val="008B1118"/>
    <w:rsid w:val="008B52E7"/>
    <w:rsid w:val="008B5CED"/>
    <w:rsid w:val="008C631A"/>
    <w:rsid w:val="008C6618"/>
    <w:rsid w:val="008D1077"/>
    <w:rsid w:val="008D6816"/>
    <w:rsid w:val="008E5864"/>
    <w:rsid w:val="008E68C9"/>
    <w:rsid w:val="008F7489"/>
    <w:rsid w:val="00905CD6"/>
    <w:rsid w:val="00911B73"/>
    <w:rsid w:val="009162FF"/>
    <w:rsid w:val="00924095"/>
    <w:rsid w:val="00935E85"/>
    <w:rsid w:val="00950D00"/>
    <w:rsid w:val="009561CB"/>
    <w:rsid w:val="00957B9B"/>
    <w:rsid w:val="0097707A"/>
    <w:rsid w:val="009A557D"/>
    <w:rsid w:val="009B2388"/>
    <w:rsid w:val="009B404A"/>
    <w:rsid w:val="009C6FCE"/>
    <w:rsid w:val="009E1526"/>
    <w:rsid w:val="009E450D"/>
    <w:rsid w:val="009E6D8C"/>
    <w:rsid w:val="009E7161"/>
    <w:rsid w:val="009F3F31"/>
    <w:rsid w:val="009F4A1A"/>
    <w:rsid w:val="009F68C8"/>
    <w:rsid w:val="00A055FE"/>
    <w:rsid w:val="00A057DD"/>
    <w:rsid w:val="00A1798B"/>
    <w:rsid w:val="00A272F8"/>
    <w:rsid w:val="00A35C91"/>
    <w:rsid w:val="00A529A9"/>
    <w:rsid w:val="00A537A8"/>
    <w:rsid w:val="00A672BF"/>
    <w:rsid w:val="00A741DF"/>
    <w:rsid w:val="00A76DE4"/>
    <w:rsid w:val="00A8163C"/>
    <w:rsid w:val="00A94D8D"/>
    <w:rsid w:val="00AA3D62"/>
    <w:rsid w:val="00AA5463"/>
    <w:rsid w:val="00AB0B43"/>
    <w:rsid w:val="00AB472D"/>
    <w:rsid w:val="00AB53A9"/>
    <w:rsid w:val="00AD0D35"/>
    <w:rsid w:val="00AD1CC7"/>
    <w:rsid w:val="00AD5377"/>
    <w:rsid w:val="00AE3512"/>
    <w:rsid w:val="00AF0315"/>
    <w:rsid w:val="00AF46A2"/>
    <w:rsid w:val="00AF470C"/>
    <w:rsid w:val="00AF7E7C"/>
    <w:rsid w:val="00B01926"/>
    <w:rsid w:val="00B0562D"/>
    <w:rsid w:val="00B16B83"/>
    <w:rsid w:val="00B17958"/>
    <w:rsid w:val="00B33537"/>
    <w:rsid w:val="00B347BA"/>
    <w:rsid w:val="00B5771A"/>
    <w:rsid w:val="00B77B41"/>
    <w:rsid w:val="00B83D6D"/>
    <w:rsid w:val="00B87B8D"/>
    <w:rsid w:val="00B918B4"/>
    <w:rsid w:val="00B95B16"/>
    <w:rsid w:val="00BB3C80"/>
    <w:rsid w:val="00BC2525"/>
    <w:rsid w:val="00BC4E8E"/>
    <w:rsid w:val="00BD3619"/>
    <w:rsid w:val="00BD7FB1"/>
    <w:rsid w:val="00BE5D9D"/>
    <w:rsid w:val="00BF2AC9"/>
    <w:rsid w:val="00BF3C8A"/>
    <w:rsid w:val="00C058CD"/>
    <w:rsid w:val="00C317DB"/>
    <w:rsid w:val="00C56869"/>
    <w:rsid w:val="00C66CAC"/>
    <w:rsid w:val="00C66FCF"/>
    <w:rsid w:val="00C67309"/>
    <w:rsid w:val="00C7123B"/>
    <w:rsid w:val="00C7142A"/>
    <w:rsid w:val="00C73315"/>
    <w:rsid w:val="00C74023"/>
    <w:rsid w:val="00C80FEF"/>
    <w:rsid w:val="00C850CA"/>
    <w:rsid w:val="00C933EC"/>
    <w:rsid w:val="00C96759"/>
    <w:rsid w:val="00CA0073"/>
    <w:rsid w:val="00CA0DD6"/>
    <w:rsid w:val="00CA5A7D"/>
    <w:rsid w:val="00CA7A2C"/>
    <w:rsid w:val="00CC0592"/>
    <w:rsid w:val="00CC4306"/>
    <w:rsid w:val="00CD2325"/>
    <w:rsid w:val="00CD4FC6"/>
    <w:rsid w:val="00CD73F7"/>
    <w:rsid w:val="00CE6881"/>
    <w:rsid w:val="00CF028B"/>
    <w:rsid w:val="00CF7B49"/>
    <w:rsid w:val="00D1072C"/>
    <w:rsid w:val="00D21CB3"/>
    <w:rsid w:val="00D3180F"/>
    <w:rsid w:val="00D50D73"/>
    <w:rsid w:val="00D56439"/>
    <w:rsid w:val="00D56A1E"/>
    <w:rsid w:val="00D705D2"/>
    <w:rsid w:val="00D736FB"/>
    <w:rsid w:val="00D75A67"/>
    <w:rsid w:val="00D80941"/>
    <w:rsid w:val="00D85A46"/>
    <w:rsid w:val="00D97B96"/>
    <w:rsid w:val="00DA1C79"/>
    <w:rsid w:val="00DD0B39"/>
    <w:rsid w:val="00DD3EF3"/>
    <w:rsid w:val="00DF042C"/>
    <w:rsid w:val="00E01457"/>
    <w:rsid w:val="00E05F7A"/>
    <w:rsid w:val="00E061A1"/>
    <w:rsid w:val="00E06443"/>
    <w:rsid w:val="00E20162"/>
    <w:rsid w:val="00E3012E"/>
    <w:rsid w:val="00E35088"/>
    <w:rsid w:val="00E5217E"/>
    <w:rsid w:val="00E5705D"/>
    <w:rsid w:val="00E67350"/>
    <w:rsid w:val="00E703FE"/>
    <w:rsid w:val="00E70D7C"/>
    <w:rsid w:val="00E822E5"/>
    <w:rsid w:val="00E87A9F"/>
    <w:rsid w:val="00E87C79"/>
    <w:rsid w:val="00E91AAB"/>
    <w:rsid w:val="00E94241"/>
    <w:rsid w:val="00E94885"/>
    <w:rsid w:val="00E962DB"/>
    <w:rsid w:val="00E97170"/>
    <w:rsid w:val="00EA2B0D"/>
    <w:rsid w:val="00EA2B75"/>
    <w:rsid w:val="00EA369A"/>
    <w:rsid w:val="00EA79E4"/>
    <w:rsid w:val="00EB14C1"/>
    <w:rsid w:val="00EC1E34"/>
    <w:rsid w:val="00ED39D7"/>
    <w:rsid w:val="00EE0AD9"/>
    <w:rsid w:val="00EF6A40"/>
    <w:rsid w:val="00F05446"/>
    <w:rsid w:val="00F05630"/>
    <w:rsid w:val="00F17768"/>
    <w:rsid w:val="00F312B8"/>
    <w:rsid w:val="00F3259A"/>
    <w:rsid w:val="00F362EA"/>
    <w:rsid w:val="00F37529"/>
    <w:rsid w:val="00F40476"/>
    <w:rsid w:val="00F40652"/>
    <w:rsid w:val="00F44A0A"/>
    <w:rsid w:val="00F55A68"/>
    <w:rsid w:val="00F6242C"/>
    <w:rsid w:val="00F74C8D"/>
    <w:rsid w:val="00F774B6"/>
    <w:rsid w:val="00F9342B"/>
    <w:rsid w:val="00F9671D"/>
    <w:rsid w:val="00F967F0"/>
    <w:rsid w:val="00FA5CEF"/>
    <w:rsid w:val="00FA5FAB"/>
    <w:rsid w:val="00FB1767"/>
    <w:rsid w:val="00FC0258"/>
    <w:rsid w:val="00FC1529"/>
    <w:rsid w:val="00FC35C3"/>
    <w:rsid w:val="00FC572A"/>
    <w:rsid w:val="00FE6C96"/>
    <w:rsid w:val="00FF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4752FB41"/>
  <w15:docId w15:val="{ACB84B22-08CF-441F-A32A-62A176BC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E7A"/>
  </w:style>
  <w:style w:type="paragraph" w:styleId="Heading1">
    <w:name w:val="heading 1"/>
    <w:basedOn w:val="Normal"/>
    <w:next w:val="Normal"/>
    <w:link w:val="Heading1Char"/>
    <w:uiPriority w:val="99"/>
    <w:qFormat/>
    <w:rsid w:val="00A057DD"/>
    <w:pPr>
      <w:spacing w:line="360" w:lineRule="auto"/>
      <w:textAlignment w:val="baseline"/>
      <w:outlineLvl w:val="0"/>
    </w:pPr>
    <w:rPr>
      <w:rFonts w:ascii="Arial" w:hAnsi="Arial" w:cs="Arial"/>
      <w:b/>
      <w:color w:val="365F91"/>
      <w:spacing w:val="-4"/>
      <w:sz w:val="28"/>
    </w:rPr>
  </w:style>
  <w:style w:type="paragraph" w:styleId="Heading2">
    <w:name w:val="heading 2"/>
    <w:basedOn w:val="Normal"/>
    <w:next w:val="Normal"/>
    <w:link w:val="Heading2Char"/>
    <w:uiPriority w:val="99"/>
    <w:qFormat/>
    <w:rsid w:val="00A057DD"/>
    <w:pPr>
      <w:spacing w:line="360" w:lineRule="auto"/>
      <w:jc w:val="both"/>
      <w:textAlignment w:val="baseline"/>
      <w:outlineLvl w:val="1"/>
    </w:pPr>
    <w:rPr>
      <w:rFonts w:ascii="Arial" w:hAnsi="Arial" w:cs="Arial"/>
      <w:b/>
      <w:color w:val="4F81BC"/>
      <w:spacing w:val="-3"/>
      <w:sz w:val="26"/>
    </w:rPr>
  </w:style>
  <w:style w:type="paragraph" w:styleId="Heading3">
    <w:name w:val="heading 3"/>
    <w:basedOn w:val="Normal"/>
    <w:next w:val="Normal"/>
    <w:link w:val="Heading3Char"/>
    <w:uiPriority w:val="99"/>
    <w:qFormat/>
    <w:rsid w:val="00AA3D62"/>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7DD"/>
    <w:rPr>
      <w:rFonts w:ascii="Arial" w:hAnsi="Arial" w:cs="Arial"/>
      <w:b/>
      <w:color w:val="365F91"/>
      <w:spacing w:val="-4"/>
      <w:sz w:val="28"/>
    </w:rPr>
  </w:style>
  <w:style w:type="character" w:customStyle="1" w:styleId="Heading2Char">
    <w:name w:val="Heading 2 Char"/>
    <w:basedOn w:val="DefaultParagraphFont"/>
    <w:link w:val="Heading2"/>
    <w:uiPriority w:val="99"/>
    <w:locked/>
    <w:rsid w:val="00A057DD"/>
    <w:rPr>
      <w:rFonts w:ascii="Arial" w:hAnsi="Arial" w:cs="Arial"/>
      <w:b/>
      <w:color w:val="4F81BC"/>
      <w:spacing w:val="-3"/>
      <w:sz w:val="26"/>
    </w:rPr>
  </w:style>
  <w:style w:type="character" w:customStyle="1" w:styleId="Heading3Char">
    <w:name w:val="Heading 3 Char"/>
    <w:basedOn w:val="DefaultParagraphFont"/>
    <w:link w:val="Heading3"/>
    <w:uiPriority w:val="99"/>
    <w:locked/>
    <w:rsid w:val="00AA3D62"/>
    <w:rPr>
      <w:rFonts w:ascii="Calibri Light" w:hAnsi="Calibri Light" w:cs="Times New Roman"/>
      <w:color w:val="1F4D78"/>
      <w:sz w:val="24"/>
      <w:szCs w:val="24"/>
    </w:rPr>
  </w:style>
  <w:style w:type="paragraph" w:styleId="Header">
    <w:name w:val="header"/>
    <w:basedOn w:val="Normal"/>
    <w:link w:val="HeaderChar"/>
    <w:uiPriority w:val="99"/>
    <w:rsid w:val="006F1F04"/>
    <w:pPr>
      <w:tabs>
        <w:tab w:val="center" w:pos="4680"/>
        <w:tab w:val="right" w:pos="9360"/>
      </w:tabs>
    </w:pPr>
  </w:style>
  <w:style w:type="character" w:customStyle="1" w:styleId="HeaderChar">
    <w:name w:val="Header Char"/>
    <w:basedOn w:val="DefaultParagraphFont"/>
    <w:link w:val="Header"/>
    <w:uiPriority w:val="99"/>
    <w:locked/>
    <w:rsid w:val="006F1F04"/>
    <w:rPr>
      <w:rFonts w:cs="Times New Roman"/>
    </w:rPr>
  </w:style>
  <w:style w:type="paragraph" w:styleId="Footer">
    <w:name w:val="footer"/>
    <w:basedOn w:val="Normal"/>
    <w:link w:val="FooterChar"/>
    <w:uiPriority w:val="99"/>
    <w:rsid w:val="006F1F04"/>
    <w:pPr>
      <w:tabs>
        <w:tab w:val="center" w:pos="4680"/>
        <w:tab w:val="right" w:pos="9360"/>
      </w:tabs>
    </w:pPr>
  </w:style>
  <w:style w:type="character" w:customStyle="1" w:styleId="FooterChar">
    <w:name w:val="Footer Char"/>
    <w:basedOn w:val="DefaultParagraphFont"/>
    <w:link w:val="Footer"/>
    <w:uiPriority w:val="99"/>
    <w:locked/>
    <w:rsid w:val="006F1F04"/>
    <w:rPr>
      <w:rFonts w:cs="Times New Roman"/>
    </w:rPr>
  </w:style>
  <w:style w:type="character" w:styleId="CommentReference">
    <w:name w:val="annotation reference"/>
    <w:basedOn w:val="DefaultParagraphFont"/>
    <w:uiPriority w:val="99"/>
    <w:semiHidden/>
    <w:rsid w:val="00E94885"/>
    <w:rPr>
      <w:rFonts w:cs="Times New Roman"/>
      <w:sz w:val="16"/>
      <w:szCs w:val="16"/>
    </w:rPr>
  </w:style>
  <w:style w:type="paragraph" w:styleId="CommentText">
    <w:name w:val="annotation text"/>
    <w:basedOn w:val="Normal"/>
    <w:link w:val="CommentTextChar"/>
    <w:uiPriority w:val="99"/>
    <w:semiHidden/>
    <w:rsid w:val="00E94885"/>
    <w:rPr>
      <w:sz w:val="20"/>
      <w:szCs w:val="20"/>
    </w:rPr>
  </w:style>
  <w:style w:type="character" w:customStyle="1" w:styleId="CommentTextChar">
    <w:name w:val="Comment Text Char"/>
    <w:basedOn w:val="DefaultParagraphFont"/>
    <w:link w:val="CommentText"/>
    <w:uiPriority w:val="99"/>
    <w:semiHidden/>
    <w:locked/>
    <w:rsid w:val="00E94885"/>
    <w:rPr>
      <w:rFonts w:cs="Times New Roman"/>
      <w:sz w:val="20"/>
      <w:szCs w:val="20"/>
    </w:rPr>
  </w:style>
  <w:style w:type="paragraph" w:styleId="CommentSubject">
    <w:name w:val="annotation subject"/>
    <w:basedOn w:val="CommentText"/>
    <w:next w:val="CommentText"/>
    <w:link w:val="CommentSubjectChar"/>
    <w:uiPriority w:val="99"/>
    <w:semiHidden/>
    <w:rsid w:val="00E94885"/>
    <w:rPr>
      <w:b/>
      <w:bCs/>
    </w:rPr>
  </w:style>
  <w:style w:type="character" w:customStyle="1" w:styleId="CommentSubjectChar">
    <w:name w:val="Comment Subject Char"/>
    <w:basedOn w:val="CommentTextChar"/>
    <w:link w:val="CommentSubject"/>
    <w:uiPriority w:val="99"/>
    <w:semiHidden/>
    <w:locked/>
    <w:rsid w:val="00E94885"/>
    <w:rPr>
      <w:rFonts w:cs="Times New Roman"/>
      <w:b/>
      <w:bCs/>
      <w:sz w:val="20"/>
      <w:szCs w:val="20"/>
    </w:rPr>
  </w:style>
  <w:style w:type="paragraph" w:styleId="Revision">
    <w:name w:val="Revision"/>
    <w:hidden/>
    <w:uiPriority w:val="99"/>
    <w:semiHidden/>
    <w:rsid w:val="00E94885"/>
  </w:style>
  <w:style w:type="paragraph" w:styleId="BalloonText">
    <w:name w:val="Balloon Text"/>
    <w:basedOn w:val="Normal"/>
    <w:link w:val="BalloonTextChar"/>
    <w:uiPriority w:val="99"/>
    <w:semiHidden/>
    <w:rsid w:val="00E9488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4885"/>
    <w:rPr>
      <w:rFonts w:ascii="Segoe UI" w:hAnsi="Segoe UI" w:cs="Segoe UI"/>
      <w:sz w:val="18"/>
      <w:szCs w:val="18"/>
    </w:rPr>
  </w:style>
  <w:style w:type="paragraph" w:styleId="ListParagraph">
    <w:name w:val="List Paragraph"/>
    <w:basedOn w:val="Normal"/>
    <w:uiPriority w:val="99"/>
    <w:qFormat/>
    <w:rsid w:val="00FB1767"/>
    <w:pPr>
      <w:ind w:left="720"/>
      <w:contextualSpacing/>
    </w:pPr>
  </w:style>
  <w:style w:type="paragraph" w:styleId="TOC1">
    <w:name w:val="toc 1"/>
    <w:basedOn w:val="Normal"/>
    <w:next w:val="Normal"/>
    <w:autoRedefine/>
    <w:uiPriority w:val="99"/>
    <w:rsid w:val="002D4BBB"/>
    <w:pPr>
      <w:tabs>
        <w:tab w:val="left" w:pos="1100"/>
        <w:tab w:val="right" w:leader="dot" w:pos="9410"/>
      </w:tabs>
      <w:spacing w:after="100"/>
      <w:ind w:left="270"/>
    </w:pPr>
  </w:style>
  <w:style w:type="paragraph" w:styleId="TOC2">
    <w:name w:val="toc 2"/>
    <w:basedOn w:val="Normal"/>
    <w:next w:val="Normal"/>
    <w:autoRedefine/>
    <w:uiPriority w:val="99"/>
    <w:rsid w:val="007258E7"/>
    <w:pPr>
      <w:tabs>
        <w:tab w:val="left" w:pos="810"/>
        <w:tab w:val="right" w:leader="dot" w:pos="9410"/>
      </w:tabs>
      <w:spacing w:after="100"/>
      <w:ind w:left="220"/>
    </w:pPr>
  </w:style>
  <w:style w:type="character" w:styleId="Hyperlink">
    <w:name w:val="Hyperlink"/>
    <w:basedOn w:val="DefaultParagraphFont"/>
    <w:uiPriority w:val="99"/>
    <w:rsid w:val="00A057DD"/>
    <w:rPr>
      <w:rFonts w:cs="Times New Roman"/>
      <w:color w:val="0563C1"/>
      <w:u w:val="single"/>
    </w:rPr>
  </w:style>
  <w:style w:type="table" w:styleId="TableGrid">
    <w:name w:val="Table Grid"/>
    <w:basedOn w:val="TableNormal"/>
    <w:uiPriority w:val="99"/>
    <w:rsid w:val="008E6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5217E"/>
    <w:rPr>
      <w:sz w:val="20"/>
      <w:szCs w:val="20"/>
    </w:rPr>
  </w:style>
  <w:style w:type="character" w:customStyle="1" w:styleId="FootnoteTextChar">
    <w:name w:val="Footnote Text Char"/>
    <w:basedOn w:val="DefaultParagraphFont"/>
    <w:link w:val="FootnoteText"/>
    <w:uiPriority w:val="99"/>
    <w:semiHidden/>
    <w:locked/>
    <w:rsid w:val="00E5217E"/>
    <w:rPr>
      <w:rFonts w:cs="Times New Roman"/>
      <w:sz w:val="20"/>
      <w:szCs w:val="20"/>
    </w:rPr>
  </w:style>
  <w:style w:type="character" w:styleId="FootnoteReference">
    <w:name w:val="footnote reference"/>
    <w:basedOn w:val="DefaultParagraphFont"/>
    <w:uiPriority w:val="99"/>
    <w:semiHidden/>
    <w:rsid w:val="00E5217E"/>
    <w:rPr>
      <w:rFonts w:cs="Times New Roman"/>
      <w:vertAlign w:val="superscript"/>
    </w:rPr>
  </w:style>
  <w:style w:type="character" w:styleId="FollowedHyperlink">
    <w:name w:val="FollowedHyperlink"/>
    <w:basedOn w:val="DefaultParagraphFont"/>
    <w:uiPriority w:val="99"/>
    <w:semiHidden/>
    <w:rsid w:val="00AA3D62"/>
    <w:rPr>
      <w:rFonts w:cs="Times New Roman"/>
      <w:color w:val="954F72"/>
      <w:u w:val="single"/>
    </w:rPr>
  </w:style>
  <w:style w:type="paragraph" w:styleId="TOCHeading">
    <w:name w:val="TOC Heading"/>
    <w:basedOn w:val="Heading1"/>
    <w:next w:val="Normal"/>
    <w:uiPriority w:val="99"/>
    <w:qFormat/>
    <w:rsid w:val="00AA3D62"/>
    <w:pPr>
      <w:keepNext/>
      <w:keepLines/>
      <w:spacing w:before="240" w:line="259" w:lineRule="auto"/>
      <w:textAlignment w:val="auto"/>
      <w:outlineLvl w:val="9"/>
    </w:pPr>
    <w:rPr>
      <w:rFonts w:ascii="Calibri Light" w:hAnsi="Calibri Light" w:cs="Times New Roman"/>
      <w:b w:val="0"/>
      <w:color w:val="2E74B5"/>
      <w:spacing w:val="0"/>
      <w:sz w:val="32"/>
      <w:szCs w:val="32"/>
    </w:rPr>
  </w:style>
  <w:style w:type="paragraph" w:styleId="NoSpacing">
    <w:name w:val="No Spacing"/>
    <w:uiPriority w:val="99"/>
    <w:qFormat/>
    <w:rsid w:val="00E87A9F"/>
  </w:style>
  <w:style w:type="paragraph" w:customStyle="1" w:styleId="Default">
    <w:name w:val="Default"/>
    <w:basedOn w:val="Normal"/>
    <w:uiPriority w:val="99"/>
    <w:rsid w:val="000A73DD"/>
    <w:pPr>
      <w:autoSpaceDE w:val="0"/>
      <w:autoSpaceDN w:val="0"/>
    </w:pPr>
    <w:rPr>
      <w:color w:val="000000"/>
      <w:sz w:val="24"/>
      <w:szCs w:val="24"/>
      <w:lang w:val="en-GB" w:eastAsia="en-GB"/>
    </w:rPr>
  </w:style>
  <w:style w:type="character" w:customStyle="1" w:styleId="Mention1">
    <w:name w:val="Mention1"/>
    <w:basedOn w:val="DefaultParagraphFont"/>
    <w:uiPriority w:val="99"/>
    <w:semiHidden/>
    <w:rsid w:val="00551E93"/>
    <w:rPr>
      <w:rFonts w:cs="Times New Roman"/>
      <w:color w:val="2B579A"/>
      <w:shd w:val="clear" w:color="auto" w:fill="E6E6E6"/>
    </w:rPr>
  </w:style>
  <w:style w:type="paragraph" w:customStyle="1" w:styleId="m114123119415661710msonormal">
    <w:name w:val="m_114123119415661710msonormal"/>
    <w:basedOn w:val="Normal"/>
    <w:rsid w:val="00130A52"/>
    <w:pPr>
      <w:spacing w:before="100" w:beforeAutospacing="1" w:after="100" w:afterAutospacing="1"/>
    </w:pPr>
    <w:rPr>
      <w:rFonts w:eastAsia="Times New Roman"/>
      <w:sz w:val="24"/>
      <w:szCs w:val="24"/>
    </w:rPr>
  </w:style>
  <w:style w:type="character" w:customStyle="1" w:styleId="aqj">
    <w:name w:val="aqj"/>
    <w:rsid w:val="00130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916142">
      <w:bodyDiv w:val="1"/>
      <w:marLeft w:val="0"/>
      <w:marRight w:val="0"/>
      <w:marTop w:val="0"/>
      <w:marBottom w:val="0"/>
      <w:divBdr>
        <w:top w:val="none" w:sz="0" w:space="0" w:color="auto"/>
        <w:left w:val="none" w:sz="0" w:space="0" w:color="auto"/>
        <w:bottom w:val="none" w:sz="0" w:space="0" w:color="auto"/>
        <w:right w:val="none" w:sz="0" w:space="0" w:color="auto"/>
      </w:divBdr>
    </w:div>
    <w:div w:id="2119905292">
      <w:marLeft w:val="0"/>
      <w:marRight w:val="0"/>
      <w:marTop w:val="0"/>
      <w:marBottom w:val="0"/>
      <w:divBdr>
        <w:top w:val="none" w:sz="0" w:space="0" w:color="auto"/>
        <w:left w:val="none" w:sz="0" w:space="0" w:color="auto"/>
        <w:bottom w:val="none" w:sz="0" w:space="0" w:color="auto"/>
        <w:right w:val="none" w:sz="0" w:space="0" w:color="auto"/>
      </w:divBdr>
    </w:div>
    <w:div w:id="211990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hyperlink" Target="http://www.oecd.org/tax/automatic-exchange/crs-implementation-and-assistance/CRS_CONTROLLING_PERSONS_Self-Cert_form.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taxreporting.finance.gov.bs" TargetMode="External"/><Relationship Id="rId2" Type="http://schemas.openxmlformats.org/officeDocument/2006/relationships/styles" Target="styles.xml"/><Relationship Id="rId16" Type="http://schemas.openxmlformats.org/officeDocument/2006/relationships/hyperlink" Target="http://www.oecd.org/tax/automatic-exchange/common-reporting-standard/CRS-related-FAQs.pdf" TargetMode="External"/><Relationship Id="rId20" Type="http://schemas.openxmlformats.org/officeDocument/2006/relationships/hyperlink" Target="http://www.oecd.org/tax/automatic-exchange/crs-implementation-and-assistance/CRS_ENTITIES_Self-Cert_Form.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ecd.org/tax/automatic-exchange/about-automatic-exchang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taxreporting.finance.gov.b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oecd.org/tax/automatic-exchange/common-reporting-standard/"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9365</Words>
  <Characters>53384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CRS Guidance Notes July 14 2017 ¹†214LXP Comments 25.7.17†215º (00460378-5).DOCX</vt:lpstr>
    </vt:vector>
  </TitlesOfParts>
  <Company>Microsoft</Company>
  <LinksUpToDate>false</LinksUpToDate>
  <CharactersWithSpaces>62624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CRS Guidance Notes July 14 2017 ¹†214LXP Comments 25.7.17†215º (00460378-5).DOCX</dc:title>
  <dc:subject>00460378-5 /font=6</dc:subject>
  <dc:creator>Megan A. Curry</dc:creator>
  <cp:keywords/>
  <dc:description/>
  <cp:lastModifiedBy>Tanya McCartney</cp:lastModifiedBy>
  <cp:revision>2</cp:revision>
  <cp:lastPrinted>2017-06-26T18:56:00Z</cp:lastPrinted>
  <dcterms:created xsi:type="dcterms:W3CDTF">2017-11-16T21:53:00Z</dcterms:created>
  <dcterms:modified xsi:type="dcterms:W3CDTF">2017-11-16T21:53:00Z</dcterms:modified>
</cp:coreProperties>
</file>